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вопросах лицензирования отдельных видов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деятельности» 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rbkraz04181aogdup0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мерах по дальнейшему развитию фондового рынка и биржевой деятельности» </w:t>
      </w:r>
      <w:r>
        <w:rPr>
          <w:rFonts w:ascii="Arial" w:cs="Arial" w:eastAsia="Arial" w:hAnsi="Arial"/>
          <w:sz w:val="24"/>
          <w:szCs w:val="24"/>
        </w:rPr>
        <w:t xml:space="preserve">от 15 ноября 2022 года № 376, исключения избыточных административных барьеров для хозяйствующих обществ с государственной долей участия, в соответствии со </w:t>
      </w:r>
      <w:hyperlink w:history="1" r:id="rIdpbeuvcyupr4s6e_edey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 статьями </w:t>
      </w:r>
      <w:hyperlink w:history="1" r:id="rIde_0th08ox3s8vpe9qgk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ws-h1xp5kgdsupx0x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olkdkzbmdjzpzcq7j3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e7vafgp2-kbsswvhzr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mh_ceqm3x-dxlbpury6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4 </w:t>
      </w:r>
      <w:r>
        <w:rPr>
          <w:rFonts w:ascii="Arial" w:cs="Arial" w:eastAsia="Arial" w:hAnsi="Arial"/>
          <w:sz w:val="24"/>
          <w:szCs w:val="24"/>
        </w:rPr>
        <w:t xml:space="preserve">пункта 330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представлении (рекомендации)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свидетельства, предусмотренного настоящим подпунктом, не требуется.»;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4 </w:t>
      </w:r>
      <w:r>
        <w:rPr>
          <w:rFonts w:ascii="Arial" w:cs="Arial" w:eastAsia="Arial" w:hAnsi="Arial"/>
          <w:sz w:val="24"/>
          <w:szCs w:val="24"/>
        </w:rPr>
        <w:t xml:space="preserve">пункта 337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представлении (рекомендации)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свидетельства, предусмотренного настоящим подпунктом, не требуется.»;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4 </w:t>
      </w:r>
      <w:r>
        <w:rPr>
          <w:rFonts w:ascii="Arial" w:cs="Arial" w:eastAsia="Arial" w:hAnsi="Arial"/>
          <w:sz w:val="24"/>
          <w:szCs w:val="24"/>
        </w:rPr>
        <w:t xml:space="preserve">пункта 344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представлении (рекомендации)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свидетельства, предусмотренного настоящим подпунктом, не требуется.»;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4 </w:t>
      </w:r>
      <w:r>
        <w:rPr>
          <w:rFonts w:ascii="Arial" w:cs="Arial" w:eastAsia="Arial" w:hAnsi="Arial"/>
          <w:sz w:val="24"/>
          <w:szCs w:val="24"/>
        </w:rPr>
        <w:t xml:space="preserve">пункта 351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наличие квалификационного свидетельства профессионального участника рынка ценных бумаг, полученного в Кыргызской Республике, за исключением членов совета директоров.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(рекомендации)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свидетельства, предусмотренного настоящим подпунктом, не требуется;»;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4 </w:t>
      </w:r>
      <w:r>
        <w:rPr>
          <w:rFonts w:ascii="Arial" w:cs="Arial" w:eastAsia="Arial" w:hAnsi="Arial"/>
          <w:sz w:val="24"/>
          <w:szCs w:val="24"/>
        </w:rPr>
        <w:t xml:space="preserve">пункта 357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наличие квалификационного свидетельства профессионального участника рынка ценных бумаг, полученного в Кыргызской Республике, за исключением членов совета директоров.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(рекомендации)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свидетельства, предусмотренного настоящим подпунктом, не требуется;»;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7 </w:t>
      </w:r>
      <w:r>
        <w:rPr>
          <w:rFonts w:ascii="Arial" w:cs="Arial" w:eastAsia="Arial" w:hAnsi="Arial"/>
          <w:sz w:val="24"/>
          <w:szCs w:val="24"/>
        </w:rPr>
        <w:t xml:space="preserve">пункта 364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«7) наличие квалификационного свидетельства профессионального участника рынка ценных бумаг, полученного в Кыргызской Республике, за исключением членов совета директоров.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(рекомендации)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свидетельства, предусмотренного настоящим подпунктом, не требуется;»;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подпункт 7 </w:t>
      </w:r>
      <w:r>
        <w:rPr>
          <w:rFonts w:ascii="Arial" w:cs="Arial" w:eastAsia="Arial" w:hAnsi="Arial"/>
          <w:sz w:val="24"/>
          <w:szCs w:val="24"/>
        </w:rPr>
        <w:t xml:space="preserve">пункта 370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«7) наличие квалификационного свидетельства профессионального участника рынка ценных бумаг, полученный в Кыргызской Республике, за исключением членов совета директоров.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(рекомендации) руководителем уполномоченного государственного органа по прогнозированию и исполнению бюджета кандидата на должность руководителя исполнительного органа хозяйствующих обществ с государственной долей участия наличие квалификационного свидетельства, предусмотренного настоящим подпунктом, не требуется;».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февраля 2026 года № 10 (3770)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1njc_xhrs6euxp4_i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dalil.kg/document/230040118</w:t>
      </w:r>
    </w:hyperlink>
  </w:p>
  <w:p>
    <w:pPr>
      <w:spacing w:after="0" w:before="40"/>
      <w:jc w:val="center"/>
    </w:pPr>
    <w:hyperlink w:history="1" r:id="rIdp1m2-dqiojrgnlafdpe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bkraz04181aogdup0xf" Type="http://schemas.openxmlformats.org/officeDocument/2006/relationships/hyperlink" Target="https://dalil.kg/document/434893" TargetMode="External"/><Relationship Id="rIdpbeuvcyupr4s6e_edeyze" Type="http://schemas.openxmlformats.org/officeDocument/2006/relationships/hyperlink" Target="https://dalil.kg/document/205058" TargetMode="External"/><Relationship Id="rIde_0th08ox3s8vpe9qgkfi" Type="http://schemas.openxmlformats.org/officeDocument/2006/relationships/hyperlink" Target="https://dalil.kg/document/112301#st_13" TargetMode="External"/><Relationship Id="rIdrgws-h1xp5kgdsupx0xpl" Type="http://schemas.openxmlformats.org/officeDocument/2006/relationships/hyperlink" Target="https://dalil.kg/document/112301#st_17" TargetMode="External"/><Relationship Id="rIdwolkdkzbmdjzpzcq7j3x-" Type="http://schemas.openxmlformats.org/officeDocument/2006/relationships/hyperlink" Target="https://dalil.kg/document/230000630" TargetMode="External"/><Relationship Id="rIdpe7vafgp2-kbsswvhzrff" Type="http://schemas.openxmlformats.org/officeDocument/2006/relationships/hyperlink" Target="https://dalil.kg/document/230000631" TargetMode="External"/><Relationship Id="rIdmh_ceqm3x-dxlbpury6-q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1njc_xhrs6euxp4_ir_" Type="http://schemas.openxmlformats.org/officeDocument/2006/relationships/hyperlink" Target="https://dalil.kg/document/230040118" TargetMode="External"/><Relationship Id="rIdp1m2-dqiojrgnlafdpe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2026-09-24T01:50:14.275Z</dcterms:created>
  <dcterms:modified xsi:type="dcterms:W3CDTF">2026-09-24T01:50:14.275Z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