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обеспечению продовольственной</w:t>
      </w:r>
      <w:r>
        <w:rPr>
          <w:rFonts w:ascii="Arial" w:cs="Arial" w:eastAsia="Arial" w:hAnsi="Arial"/>
          <w:sz w:val="28"/>
          <w:szCs w:val="28"/>
        </w:rPr>
        <w:t xml:space="preserve">безопасности и стабилизации рыночных цен</w:t>
      </w:r>
      <w:r>
        <w:rPr>
          <w:rFonts w:ascii="Arial" w:cs="Arial" w:eastAsia="Arial" w:hAnsi="Arial"/>
          <w:sz w:val="28"/>
          <w:szCs w:val="28"/>
        </w:rPr>
        <w:t xml:space="preserve"> в Кыргызской Республике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от 22 декабря </w:t>
      </w:r>
      <w:r>
        <w:rPr>
          <w:rFonts w:ascii="Arial" w:cs="Arial" w:eastAsia="Arial" w:hAnsi="Arial"/>
          <w:sz w:val="28"/>
          <w:szCs w:val="28"/>
        </w:rPr>
        <w:t xml:space="preserve">2025 года № 816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wvrouzujjt-pchkqbu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fcgloykgit2oakh3a7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wdswoeic4lthqkog2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Внести в </w:t>
      </w:r>
      <w:hyperlink w:history="1" r:id="rId2faqdfa_orapk6qtulg_s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стабилизации рыночных цен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в Кыргызской Республике» от 22 декабря 2025 года № 816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«1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. Установить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до 31 декабря 2027 года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ставку налога на добавленную стоимость в размере 0 (ноль) процентов на облагаемые поставки кормов для сельскохозяйственной рыбы, классифицируемых по товарным позициям ТН ВЭД 2309 90 1000, 2309 90 3100, 2309 90 9609, осуществляемые производителем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кормов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в адрес сельскохозяйственного производителя, осуществляющего деятельность по разведению сельскохозяйственной рыбы.»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2) в </w:t>
      </w:r>
      <w:hyperlink w:history="1" r:id="rIdop-zwr2zljgkpftosnro9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товаров, облагаемых налогом на добавленную стоимость по ставке ноль (0) процентов на облагаемые поставки и облагаемый импорт,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– пункт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февраля 2026 года № 10 (3770)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lh5o4wctdtegy3aq7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dalil.kg/document/230040422</w:t>
      </w:r>
    </w:hyperlink>
  </w:p>
  <w:p>
    <w:pPr>
      <w:spacing w:after="0" w:before="40"/>
      <w:jc w:val="center"/>
    </w:pPr>
    <w:hyperlink w:history="1" r:id="rIddy7atozho6nrakdkv73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rouzujjt-pchkqbutll" Type="http://schemas.openxmlformats.org/officeDocument/2006/relationships/hyperlink" Target="https://dalil.kg/document/112340#st_34_1" TargetMode="External"/><Relationship Id="rIdfcgloykgit2oakh3a7fwu" Type="http://schemas.openxmlformats.org/officeDocument/2006/relationships/hyperlink" Target="https://dalil.kg/document/112301#st_13" TargetMode="External"/><Relationship Id="rId9mwdswoeic4lthqkog28g" Type="http://schemas.openxmlformats.org/officeDocument/2006/relationships/hyperlink" Target="https://dalil.kg/document/112301#st_17" TargetMode="External"/><Relationship Id="rId2faqdfa_orapk6qtulg_s" Type="http://schemas.openxmlformats.org/officeDocument/2006/relationships/hyperlink" Target="https://dalil.kg/document/230036022" TargetMode="External"/><Relationship Id="rIdop-zwr2zljgkpftosnro9" Type="http://schemas.openxmlformats.org/officeDocument/2006/relationships/hyperlink" Target="https://dalil.kg/document/230036022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lh5o4wctdtegy3aq75f" Type="http://schemas.openxmlformats.org/officeDocument/2006/relationships/hyperlink" Target="https://dalil.kg/document/230040422" TargetMode="External"/><Relationship Id="rIddy7atozho6nrakdkv73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2026-09-24T21:15:36.098Z</dcterms:created>
  <dcterms:modified xsi:type="dcterms:W3CDTF">2026-09-24T21:15:36.098Z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