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ej4gk7iilptoa4wkfa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</w:t>
      </w:r>
      <w:r>
        <w:rPr>
          <w:rFonts w:ascii="Arial" w:cs="Arial" w:eastAsia="Arial" w:hAnsi="Arial"/>
          <w:sz w:val="28"/>
          <w:szCs w:val="28"/>
        </w:rPr>
        <w:t xml:space="preserve">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условиях оплаты труда работников учреждений культуры, искусства, информации и 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 30 марта 2022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распоряжения Президента Кыргызской Республики от 31 декабря 2025 года № 453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npl1t-tfxdom21nz9uh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0z8eygzvbey6ed5ou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qp49ozrh9mjkqcigi6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учреждений культуры, искусства, информации и спорта» от 30 марта 2022 года № 185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пункт 3 после слов «Государственному агентству физической культуры и спорта при Кабинете Министров Кыргызской Республики»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 исключением дирекций по видам спорта, Дирекции по противодействию допингу «Национальный антидопинговый центр»,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еспубликанского спортивного колледжа имени Шералы Сыдыкова,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егиональной школы олимпийского резерва,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пециализированных детско-юношеских школ олимпийского резерва «Ынтымак», «Тайманбас», «Кулук»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bbzjsk0ddoffcpinjb5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45vr5juvutome0cm_ck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2028 годов» предусмотреть </w:t>
      </w:r>
      <w:r>
        <w:rPr>
          <w:rFonts w:ascii="Arial" w:cs="Arial" w:eastAsia="Arial" w:hAnsi="Arial"/>
          <w:sz w:val="24"/>
          <w:szCs w:val="24"/>
        </w:rPr>
        <w:t xml:space="preserve">изменения, вытекающие из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 Настоящее постановление вступает в силу с 1 января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20 февраля 2026 года № 12 (3772)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" w:before="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" w:before="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" w:before="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48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hejez5dc3_gxplaegbp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</w:p>
    <w:p>
      <w:pPr>
        <w:spacing w:after="120" w:before="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</w:p>
    <w:p>
      <w:pPr>
        <w:spacing w:after="120" w:before="2"/>
        <w:ind w:firstLine="314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сфере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спорта</w:t>
      </w:r>
    </w:p>
    <w:p>
      <w:pPr>
        <w:spacing w:after="120" w:before="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Дирекции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олимпийским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Дирекции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неолимпийским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Дирекции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видам спорта, Дирекции по олимпийским игровым видам спорта и по проведению спортивно-массовых мероприятий «Жаштык», учреждение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«Физкультурно-оздоровительный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комплекс»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4"/>
        <w:gridCol w:w="6541"/>
        <w:gridCol w:w="2553"/>
      </w:tblGrid>
      <w:tr>
        <w:tc>
          <w:tcPr>
            <w:tcW w:type="dxa" w:w="10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ипподромом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кадрам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ипподрома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закупкам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</w:tbl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Дирекции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противодействию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допингу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«Национальный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антидопинговый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центр»</w:t>
      </w:r>
    </w:p>
    <w:p>
      <w:pPr>
        <w:spacing w:after="24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4"/>
        <w:gridCol w:w="6541"/>
        <w:gridCol w:w="2553"/>
      </w:tblGrid>
      <w:tr>
        <w:tc>
          <w:tcPr>
            <w:tcW w:type="dxa" w:w="10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закупкам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 w:before="7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Административно-управленческого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колледжа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Шералы Сыдыкова, Региональная школа олимпийского резерва</w:t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9"/>
        <w:gridCol w:w="4740"/>
        <w:gridCol w:w="4618"/>
      </w:tblGrid>
      <w:tr>
        <w:tc>
          <w:tcPr>
            <w:tcW w:type="dxa" w:w="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4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РСК,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РШОР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оздоровительным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лагерем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языку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закупкам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кадрам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4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Республиканский</w:t>
      </w:r>
      <w:r>
        <w:rPr>
          <w:rFonts w:ascii="Arial" w:cs="Arial" w:eastAsia="Arial" w:hAnsi="Arial"/>
          <w:sz w:val="24"/>
          <w:szCs w:val="24"/>
        </w:rPr>
        <w:t xml:space="preserve">спортивный</w:t>
      </w:r>
      <w:r>
        <w:rPr>
          <w:rFonts w:ascii="Arial" w:cs="Arial" w:eastAsia="Arial" w:hAnsi="Arial"/>
          <w:sz w:val="24"/>
          <w:szCs w:val="24"/>
        </w:rPr>
        <w:t xml:space="preserve">колледж</w:t>
      </w:r>
      <w:r>
        <w:rPr>
          <w:rFonts w:ascii="Arial" w:cs="Arial" w:eastAsia="Arial" w:hAnsi="Arial"/>
          <w:sz w:val="24"/>
          <w:szCs w:val="24"/>
        </w:rPr>
        <w:t xml:space="preserve">имени</w:t>
      </w:r>
      <w:r>
        <w:rPr>
          <w:rFonts w:ascii="Arial" w:cs="Arial" w:eastAsia="Arial" w:hAnsi="Arial"/>
          <w:sz w:val="24"/>
          <w:szCs w:val="24"/>
        </w:rPr>
        <w:t xml:space="preserve">Шералы </w:t>
      </w:r>
      <w:r>
        <w:rPr>
          <w:rFonts w:ascii="Arial" w:cs="Arial" w:eastAsia="Arial" w:hAnsi="Arial"/>
          <w:sz w:val="24"/>
          <w:szCs w:val="24"/>
        </w:rPr>
        <w:t xml:space="preserve">Сыдыкова;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РШОР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«Региональная</w:t>
      </w:r>
      <w:r>
        <w:rPr>
          <w:rFonts w:ascii="Arial" w:cs="Arial" w:eastAsia="Arial" w:hAnsi="Arial"/>
          <w:sz w:val="24"/>
          <w:szCs w:val="24"/>
        </w:rPr>
        <w:t xml:space="preserve">школа</w:t>
      </w:r>
      <w:r>
        <w:rPr>
          <w:rFonts w:ascii="Arial" w:cs="Arial" w:eastAsia="Arial" w:hAnsi="Arial"/>
          <w:sz w:val="24"/>
          <w:szCs w:val="24"/>
        </w:rPr>
        <w:t xml:space="preserve">олимпийского</w:t>
      </w:r>
      <w:r>
        <w:rPr>
          <w:rFonts w:ascii="Arial" w:cs="Arial" w:eastAsia="Arial" w:hAnsi="Arial"/>
          <w:sz w:val="24"/>
          <w:szCs w:val="24"/>
        </w:rPr>
        <w:t xml:space="preserve">резерва»</w:t>
      </w:r>
      <w:r>
        <w:rPr>
          <w:rFonts w:ascii="Arial" w:cs="Arial" w:eastAsia="Arial" w:hAnsi="Arial"/>
          <w:sz w:val="24"/>
          <w:szCs w:val="24"/>
        </w:rPr>
        <w:t xml:space="preserve">города </w:t>
      </w:r>
      <w:r>
        <w:rPr>
          <w:rFonts w:ascii="Arial" w:cs="Arial" w:eastAsia="Arial" w:hAnsi="Arial"/>
          <w:sz w:val="24"/>
          <w:szCs w:val="24"/>
        </w:rPr>
        <w:t xml:space="preserve">Джалал-Абад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Административно-управленческого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детско-юношеских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специализированных детско-юношеских школ олимпийского резерва, детско-юношеских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спортивно-адаптивных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детско- юношеских школ паралимпийских резервов</w:t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4116"/>
        <w:gridCol w:w="1812"/>
        <w:gridCol w:w="1812"/>
        <w:gridCol w:w="1812"/>
      </w:tblGrid>
      <w:tr>
        <w:tc>
          <w:tcPr>
            <w:tcW w:type="dxa" w:w="6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54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«Ынтымак»,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«Тайманбас»,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«Кулук»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ДЮСШ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закупкам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</w:tbl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9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СДЮШОР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специализированная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детско-юношеская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школа </w:t>
      </w:r>
      <w:r>
        <w:rPr>
          <w:rFonts w:ascii="Arial" w:cs="Arial" w:eastAsia="Arial" w:hAnsi="Arial"/>
          <w:sz w:val="24"/>
          <w:szCs w:val="24"/>
        </w:rPr>
        <w:t xml:space="preserve">олимпийского резерва.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ДЮСШ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детско-юношеская</w:t>
      </w:r>
      <w:r>
        <w:rPr>
          <w:rFonts w:ascii="Arial" w:cs="Arial" w:eastAsia="Arial" w:hAnsi="Arial"/>
          <w:sz w:val="24"/>
          <w:szCs w:val="24"/>
        </w:rPr>
        <w:t xml:space="preserve">спортивная</w:t>
      </w:r>
      <w:r>
        <w:rPr>
          <w:rFonts w:ascii="Arial" w:cs="Arial" w:eastAsia="Arial" w:hAnsi="Arial"/>
          <w:sz w:val="24"/>
          <w:szCs w:val="24"/>
        </w:rPr>
        <w:t xml:space="preserve">школа.</w:t>
      </w:r>
    </w:p>
    <w:p>
      <w:pPr>
        <w:spacing w:after="120" w:before="1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производительность, высокую квалификацию, качественное исполнение функциональных обязанностей и вклад в достижение высоких результатов на международной спортивной арене административно-управленческому персоналу Дирекции по олимпийским видам спорта, Дирекции по неолимпийским видам спорта, Дирекции по национальным видам спорта, Дирекции по олимпийским игровым видам спорта и по проведению спортивно- массовых мероприятий «Жаштык»,</w:t>
      </w:r>
      <w:r>
        <w:rPr>
          <w:rFonts w:ascii="Arial" w:cs="Arial" w:eastAsia="Arial" w:hAnsi="Arial"/>
          <w:sz w:val="24"/>
          <w:szCs w:val="24"/>
        </w:rPr>
        <w:t xml:space="preserve">Дирекции по противодействию допингу «Национальный антидопинговый центр», Республиканского спортивного колледжа имени Шералы Сыдыкова, Региональной школы олимпийского резерва и специализированной детско- юношеской школы олимпийского резерва «Ынтымак», специализированной</w:t>
      </w:r>
      <w:r>
        <w:rPr>
          <w:rFonts w:ascii="Arial" w:cs="Arial" w:eastAsia="Arial" w:hAnsi="Arial"/>
          <w:sz w:val="24"/>
          <w:szCs w:val="24"/>
        </w:rPr>
        <w:t xml:space="preserve">детско-юношеской</w:t>
      </w:r>
      <w:r>
        <w:rPr>
          <w:rFonts w:ascii="Arial" w:cs="Arial" w:eastAsia="Arial" w:hAnsi="Arial"/>
          <w:sz w:val="24"/>
          <w:szCs w:val="24"/>
        </w:rPr>
        <w:t xml:space="preserve">школы</w:t>
      </w:r>
      <w:r>
        <w:rPr>
          <w:rFonts w:ascii="Arial" w:cs="Arial" w:eastAsia="Arial" w:hAnsi="Arial"/>
          <w:sz w:val="24"/>
          <w:szCs w:val="24"/>
        </w:rPr>
        <w:t xml:space="preserve">олимпийского </w:t>
      </w:r>
      <w:r>
        <w:rPr>
          <w:rFonts w:ascii="Arial" w:cs="Arial" w:eastAsia="Arial" w:hAnsi="Arial"/>
          <w:sz w:val="24"/>
          <w:szCs w:val="24"/>
        </w:rPr>
        <w:t xml:space="preserve">резерва </w:t>
      </w:r>
      <w:r>
        <w:rPr>
          <w:rFonts w:ascii="Arial" w:cs="Arial" w:eastAsia="Arial" w:hAnsi="Arial"/>
          <w:sz w:val="24"/>
          <w:szCs w:val="24"/>
        </w:rPr>
        <w:t xml:space="preserve">«Тайманбас»,</w:t>
      </w:r>
      <w:r>
        <w:rPr>
          <w:rFonts w:ascii="Arial" w:cs="Arial" w:eastAsia="Arial" w:hAnsi="Arial"/>
          <w:sz w:val="24"/>
          <w:szCs w:val="24"/>
        </w:rPr>
        <w:t xml:space="preserve">специализированной детско-юношеской школы олимпийского резерва «Кулук»</w:t>
      </w:r>
      <w:r>
        <w:rPr>
          <w:rFonts w:ascii="Arial" w:cs="Arial" w:eastAsia="Arial" w:hAnsi="Arial"/>
          <w:sz w:val="24"/>
          <w:szCs w:val="24"/>
        </w:rPr>
        <w:t xml:space="preserve">устанавливается</w:t>
      </w:r>
      <w:r>
        <w:rPr>
          <w:rFonts w:ascii="Arial" w:cs="Arial" w:eastAsia="Arial" w:hAnsi="Arial"/>
          <w:sz w:val="24"/>
          <w:szCs w:val="24"/>
        </w:rPr>
        <w:t xml:space="preserve">надбавка до 50 % к должностному окладу.</w:t>
      </w:r>
    </w:p>
    <w:p>
      <w:pPr>
        <w:spacing w:after="120" w:before="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Тренерско-преподавательского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состава</w:t>
      </w:r>
    </w:p>
    <w:p>
      <w:pPr>
        <w:spacing w:after="1" w:before="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6049"/>
        <w:gridCol w:w="3358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3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образованием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образованием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Инструкторов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спорту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"/>
        <w:gridCol w:w="4840"/>
        <w:gridCol w:w="4566"/>
      </w:tblGrid>
      <w:tr>
        <w:tc>
          <w:tcPr>
            <w:tcW w:type="dxa" w:w="7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</w:t>
            </w:r>
          </w:p>
        </w:tc>
        <w:tc>
          <w:tcPr>
            <w:tcW w:type="dxa" w:w="4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спорту</w:t>
            </w:r>
          </w:p>
        </w:tc>
        <w:tc>
          <w:tcPr>
            <w:tcW w:type="dxa" w:w="4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 w:before="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7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 w:before="2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административно- управленческого персонала учреждений физической культуры и спорта, а за работу в условиях высокогорья и отдаленных зонах – в соответствии с нормативными правовыми актами.</w:t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надбавок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окладам тренерско-преподавательского состава</w:t>
      </w:r>
    </w:p>
    <w:p>
      <w:pPr>
        <w:spacing w:after="120" w:before="6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Тренерам-преподавателям по спорту, работающим в Дирекции по олимпийским видам спорта, в специализированных детско-юношеских школах олимпийского резерва, спортивных колледжах, группах спортивного совершенствования и высшего мастерства детско-юношеских спортивных школ, выплачивается процентная</w:t>
      </w:r>
      <w:r>
        <w:rPr>
          <w:rFonts w:ascii="Arial" w:cs="Arial" w:eastAsia="Arial" w:hAnsi="Arial"/>
          <w:sz w:val="24"/>
          <w:szCs w:val="24"/>
        </w:rPr>
        <w:t xml:space="preserve">надбавка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профессиональное</w:t>
      </w:r>
      <w:r>
        <w:rPr>
          <w:rFonts w:ascii="Arial" w:cs="Arial" w:eastAsia="Arial" w:hAnsi="Arial"/>
          <w:sz w:val="24"/>
          <w:szCs w:val="24"/>
        </w:rPr>
        <w:t xml:space="preserve">мастерство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размере 15 процентов от должностного оклада.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должностным окладам тренеров-преподавателей по спорту, имеющих почетное звание «Заслуженный работник физической культуры и</w:t>
      </w:r>
      <w:r>
        <w:rPr>
          <w:rFonts w:ascii="Arial" w:cs="Arial" w:eastAsia="Arial" w:hAnsi="Arial"/>
          <w:sz w:val="24"/>
          <w:szCs w:val="24"/>
        </w:rPr>
        <w:t xml:space="preserve">спорта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Республики»,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выслугу</w:t>
      </w:r>
      <w:r>
        <w:rPr>
          <w:rFonts w:ascii="Arial" w:cs="Arial" w:eastAsia="Arial" w:hAnsi="Arial"/>
          <w:sz w:val="24"/>
          <w:szCs w:val="24"/>
        </w:rPr>
        <w:t xml:space="preserve">лет,</w:t>
      </w:r>
      <w:r>
        <w:rPr>
          <w:rFonts w:ascii="Arial" w:cs="Arial" w:eastAsia="Arial" w:hAnsi="Arial"/>
          <w:sz w:val="24"/>
          <w:szCs w:val="24"/>
        </w:rPr>
        <w:t xml:space="preserve">работу</w:t>
      </w:r>
      <w:r>
        <w:rPr>
          <w:rFonts w:ascii="Arial" w:cs="Arial" w:eastAsia="Arial" w:hAnsi="Arial"/>
          <w:sz w:val="24"/>
          <w:szCs w:val="24"/>
        </w:rPr>
        <w:t xml:space="preserve">в условиях высокогорья и отдаленных зонах надбавки устанавливаются в соответствии с нормативными правовыми актами.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должностным окладам тренеров-преподавателей по спорту, имеющих спортивные звания «Заслуженный тренер Кыргызской Республики» или «Заслуженный мастер спорта Кыргызской Республики», устанавливаются надбавки в размере 800 сомов.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подготовку и передачу спортсменов в Республиканский спортивный колледж имени Шералы Сыдыкова и Региональную школу</w:t>
      </w:r>
      <w:r>
        <w:rPr>
          <w:rFonts w:ascii="Arial" w:cs="Arial" w:eastAsia="Arial" w:hAnsi="Arial"/>
          <w:sz w:val="24"/>
          <w:szCs w:val="24"/>
        </w:rPr>
        <w:t xml:space="preserve">олимпийского</w:t>
      </w:r>
      <w:r>
        <w:rPr>
          <w:rFonts w:ascii="Arial" w:cs="Arial" w:eastAsia="Arial" w:hAnsi="Arial"/>
          <w:sz w:val="24"/>
          <w:szCs w:val="24"/>
        </w:rPr>
        <w:t xml:space="preserve">резерва</w:t>
      </w:r>
      <w:r>
        <w:rPr>
          <w:rFonts w:ascii="Arial" w:cs="Arial" w:eastAsia="Arial" w:hAnsi="Arial"/>
          <w:sz w:val="24"/>
          <w:szCs w:val="24"/>
        </w:rPr>
        <w:t xml:space="preserve">тренерам</w:t>
      </w:r>
      <w:r>
        <w:rPr>
          <w:rFonts w:ascii="Arial" w:cs="Arial" w:eastAsia="Arial" w:hAnsi="Arial"/>
          <w:sz w:val="24"/>
          <w:szCs w:val="24"/>
        </w:rPr>
        <w:t xml:space="preserve">производится</w:t>
      </w:r>
      <w:r>
        <w:rPr>
          <w:rFonts w:ascii="Arial" w:cs="Arial" w:eastAsia="Arial" w:hAnsi="Arial"/>
          <w:sz w:val="24"/>
          <w:szCs w:val="24"/>
        </w:rPr>
        <w:t xml:space="preserve">доплата</w:t>
      </w:r>
      <w:r>
        <w:rPr>
          <w:rFonts w:ascii="Arial" w:cs="Arial" w:eastAsia="Arial" w:hAnsi="Arial"/>
          <w:sz w:val="24"/>
          <w:szCs w:val="24"/>
        </w:rPr>
        <w:t xml:space="preserve">до 10 процентов к должностному окладу за каждого спортсмена в</w:t>
      </w:r>
      <w:r>
        <w:rPr>
          <w:rFonts w:ascii="Arial" w:cs="Arial" w:eastAsia="Arial" w:hAnsi="Arial"/>
          <w:sz w:val="24"/>
          <w:szCs w:val="24"/>
        </w:rPr>
        <w:t xml:space="preserve">течение всего обучения данного спортсмена в колледже. За передачу спортсменов в Дирекцию по олимпийским видам спорта тренеру производится доплата до 20 процентов за каждого спортсмена.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оклады тренеров-преподавателей по спорту повышаются за подготовку спортсменов, показавших в течение года высокие результаты,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5"/>
        <w:gridCol w:w="5856"/>
        <w:gridCol w:w="1249"/>
        <w:gridCol w:w="1249"/>
        <w:gridCol w:w="1249"/>
      </w:tblGrid>
      <w:tr>
        <w:tc>
          <w:tcPr>
            <w:tcW w:type="dxa" w:w="5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7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надбавки,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места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игры,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паралимпийские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сурдлимпийские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взрослых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универсиада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инвалидов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игры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Азии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среди: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юниоров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(U-20,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U-22,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23)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кадетов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(юноши)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(U-15,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среди: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юниоров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(U-20,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U-22,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23)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кадетов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(юноши)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(U-15,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4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4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 w:before="14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неолимпийским и национальным видам спорта размеры надбавок на 50 процентов меньше. Все надбавки к должностным окладам устанавливаются в пределах фонда оплаты труда;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спортсменов, выполнивших вышеуказанные результаты, утверждаются республиканским уполномоченным органом в сфере физической культуры и спорта.».</w:t>
      </w:r>
    </w:p>
    <w:p>
      <w:pPr>
        <w:spacing w:after="16" w:before="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lck6qsnj72g0srhaw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dalil.kg/document/230040786</w:t>
      </w:r>
    </w:hyperlink>
  </w:p>
  <w:p>
    <w:pPr>
      <w:spacing w:after="0" w:before="40"/>
      <w:jc w:val="center"/>
    </w:pPr>
    <w:hyperlink w:history="1" r:id="rId88fk3aiqsxkkn3s8uo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j4gk7iilptoa4wkfagm" Type="http://schemas.openxmlformats.org/officeDocument/2006/relationships/hyperlink" Target="https://dalil.kg/document/230045116" TargetMode="External"/><Relationship Id="rIdnpl1t-tfxdom21nz9uhcw" Type="http://schemas.openxmlformats.org/officeDocument/2006/relationships/hyperlink" Target="https://dalil.kg/document/112301#st_13" TargetMode="External"/><Relationship Id="rIddj0z8eygzvbey6ed5ounf" Type="http://schemas.openxmlformats.org/officeDocument/2006/relationships/hyperlink" Target="https://dalil.kg/document/112301#st_17" TargetMode="External"/><Relationship Id="rIdeqp49ozrh9mjkqcigi6jt" Type="http://schemas.openxmlformats.org/officeDocument/2006/relationships/hyperlink" Target="https://dalil.kg/document/159113" TargetMode="External"/><Relationship Id="rIdbbzjsk0ddoffcpinjb5xa" Type="http://schemas.openxmlformats.org/officeDocument/2006/relationships/hyperlink" Target="https://dalil.kg/document/159113#pr10" TargetMode="External"/><Relationship Id="rId45vr5juvutome0cm_ckfv" Type="http://schemas.openxmlformats.org/officeDocument/2006/relationships/hyperlink" Target="https://dalil.kg/document/230040786#pr" TargetMode="External"/><Relationship Id="rIdhejez5dc3_gxplaegbptm" Type="http://schemas.openxmlformats.org/officeDocument/2006/relationships/hyperlink" Target="https://dalil.kg/document/159113#pr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lck6qsnj72g0srhawf9" Type="http://schemas.openxmlformats.org/officeDocument/2006/relationships/hyperlink" Target="https://dalil.kg/document/230040786" TargetMode="External"/><Relationship Id="rId88fk3aiqsxkkn3s8uoc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2026-09-24T21:14:13.658Z</dcterms:created>
  <dcterms:modified xsi:type="dcterms:W3CDTF">2026-09-24T21:14:13.658Z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