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проведения операций по обмену валютными активами» от 19 июня 2023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валютных своп-операций и расширения возможностей использования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fsl5smcei4jkyque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операций по обмену валютными активами» от 19 июня 2023 года № 305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nc1lwvoqafuhvubz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операций по обмену валютными активами,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Участник обязуется направить средства, полученные от проведения валютной своп-операции, на финансирование проектов потенциальных заемщиков либо на инвестирование в уставный капитал юридических лиц</w:t>
      </w:r>
      <w:r>
        <w:rPr>
          <w:rFonts w:ascii="Arial" w:cs="Arial" w:eastAsia="Arial" w:hAnsi="Arial"/>
          <w:sz w:val="24"/>
          <w:szCs w:val="24"/>
        </w:rPr>
        <w:t xml:space="preserve">, в том числе</w:t>
      </w:r>
      <w:r>
        <w:rPr>
          <w:rFonts w:ascii="Arial" w:cs="Arial" w:eastAsia="Arial" w:hAnsi="Arial"/>
          <w:sz w:val="24"/>
          <w:szCs w:val="24"/>
        </w:rPr>
        <w:t xml:space="preserve"> путем внесения вклада в уставный капитал или приобретения долей (акций), с последующим предоставлением уполномоченному органу общих сведений о профинансированных проектах.»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uyph0glpmhn8jd7jy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dalil.kg/document/230042026</w:t>
      </w:r>
    </w:hyperlink>
  </w:p>
  <w:p>
    <w:pPr>
      <w:spacing w:after="0" w:before="40"/>
      <w:jc w:val="center"/>
    </w:pPr>
    <w:hyperlink w:history="1" r:id="rIdbn3fsts9pzd7ysvk1-n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fsl5smcei4jkyquembr" Type="http://schemas.openxmlformats.org/officeDocument/2006/relationships/hyperlink" Target="https://dalil.kg/document/160245" TargetMode="External"/><Relationship Id="rIdkync1lwvoqafuhvubzmpm" Type="http://schemas.openxmlformats.org/officeDocument/2006/relationships/hyperlink" Target="https://dalil.kg/document/160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uyph0glpmhn8jd7jyu4" Type="http://schemas.openxmlformats.org/officeDocument/2006/relationships/hyperlink" Target="https://dalil.kg/document/230042026" TargetMode="External"/><Relationship Id="rIdbn3fsts9pzd7ysvk1-n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2026-09-26T19:46:37.439Z</dcterms:created>
  <dcterms:modified xsi:type="dcterms:W3CDTF">2026-09-26T19:46:37.439Z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