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right"/>
      </w:pPr>
      <w:r>
        <w:rPr>
          <w:rFonts w:ascii="Arial" w:cs="Arial" w:eastAsia="Arial" w:hAnsi="Arial"/>
          <w:b w:val="false"/>
          <w:bCs w:val="false"/>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zlyqgmfir_he02o-zsjqq">
        <w:r>
          <w:rPr>
            <w:rFonts w:ascii="Arial" w:cs="Arial" w:eastAsia="Arial" w:hAnsi="Arial"/>
            <w:i/>
            <w:iCs/>
            <w:color w:val="1D4ED8"/>
            <w:sz w:val="24"/>
            <w:szCs w:val="24"/>
            <w:u w:val="single"/>
          </w:rPr>
          <w:t xml:space="preserve">постановлению</w:t>
        </w:r>
      </w:hyperlink>
    </w:p>
    <w:p>
      <w:pPr>
        <w:spacing w:after="120"/>
        <w:jc w:val="right"/>
      </w:pPr>
      <w:r>
        <w:rPr>
          <w:rFonts w:ascii="Arial" w:cs="Arial" w:eastAsia="Arial" w:hAnsi="Arial"/>
          <w:i/>
          <w:iCs/>
          <w:sz w:val="24"/>
          <w:szCs w:val="24"/>
        </w:rPr>
        <w:t xml:space="preserve">Кабинета Министров</w:t>
      </w:r>
    </w:p>
    <w:p>
      <w:pPr>
        <w:spacing w:after="120"/>
        <w:jc w:val="right"/>
      </w:pPr>
      <w:r>
        <w:rPr>
          <w:rFonts w:ascii="Arial" w:cs="Arial" w:eastAsia="Arial" w:hAnsi="Arial"/>
          <w:i/>
          <w:iCs/>
          <w:sz w:val="24"/>
          <w:szCs w:val="24"/>
        </w:rPr>
        <w:t xml:space="preserve">Кыргызской Республики
 от 27 февраля 2026 года № 140)</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b w:val="false"/>
          <w:bCs w:val="false"/>
          <w:sz w:val="24"/>
          <w:szCs w:val="24"/>
        </w:rPr>
        <w:t xml:space="preserve">«</w:t>
      </w:r>
      <w:hyperlink w:history="1" r:id="rId9lion6qsxajbshiy1nfn6">
        <w:r>
          <w:rPr>
            <w:rFonts w:ascii="Arial" w:cs="Arial" w:eastAsia="Arial" w:hAnsi="Arial"/>
            <w:b w:val="false"/>
            <w:bCs w:val="false"/>
            <w:color w:val="1D4ED8"/>
            <w:sz w:val="24"/>
            <w:szCs w:val="24"/>
            <w:u w:val="single"/>
          </w:rPr>
          <w:t xml:space="preserve">Приложение</w:t>
        </w:r>
        <w:r>
          <w:rPr>
            <w:rFonts w:ascii="Arial" w:cs="Arial" w:eastAsia="Arial" w:hAnsi="Arial"/>
            <w:b w:val="false"/>
            <w:bCs w:val="false"/>
            <w:color w:val="1D4ED8"/>
            <w:sz w:val="24"/>
            <w:szCs w:val="24"/>
            <w:u w:val="single"/>
          </w:rPr>
          <w:t xml:space="preserve">1</w:t>
        </w:r>
      </w:hyperlink>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положение
 о фондах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Типовое положение о фондах развития регионов (далее – Типовое положение) разработано в соответствии с нормами Бюджетного кодекса Кыргызской Республики, Кодекса Кыргызской Республики о неналоговых доходах, Закона Кыргызской Республики «О государственных закупках» и определяет порядок использования средств фондов развития регионов.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Фонды развития регионов (далее – Фонд) </w:t>
      </w:r>
      <w:r>
        <w:rPr>
          <w:rFonts w:ascii="Arial" w:cs="Arial" w:eastAsia="Arial" w:hAnsi="Arial"/>
          <w:sz w:val="24"/>
          <w:szCs w:val="24"/>
        </w:rPr>
        <w:t xml:space="preserve">формируются и функционируют без образования юридического лица и представляют собой счета</w:t>
      </w:r>
      <w:r>
        <w:rPr>
          <w:rFonts w:ascii="Arial" w:cs="Arial" w:eastAsia="Arial" w:hAnsi="Arial"/>
          <w:sz w:val="24"/>
          <w:szCs w:val="24"/>
        </w:rPr>
        <w:t xml:space="preserve">,</w:t>
      </w:r>
      <w:r>
        <w:rPr>
          <w:rFonts w:ascii="Arial" w:cs="Arial" w:eastAsia="Arial" w:hAnsi="Arial"/>
          <w:sz w:val="24"/>
          <w:szCs w:val="24"/>
        </w:rPr>
        <w:t xml:space="preserve"> открываемые и обслуживаемые в системе казначейства Министерства финансов Кыргызской Республики.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Средства Фонда </w:t>
      </w:r>
      <w:r>
        <w:rPr>
          <w:rFonts w:ascii="Arial" w:cs="Arial" w:eastAsia="Arial" w:hAnsi="Arial"/>
          <w:sz w:val="24"/>
          <w:szCs w:val="24"/>
        </w:rPr>
        <w:t xml:space="preserve">образуются из средств республиканского бюджета и других отчислений, поступающих в соответствии с законодательством Кыргызской Республики, и </w:t>
      </w:r>
      <w:r>
        <w:rPr>
          <w:rFonts w:ascii="Arial" w:cs="Arial" w:eastAsia="Arial" w:hAnsi="Arial"/>
          <w:sz w:val="24"/>
          <w:szCs w:val="24"/>
        </w:rPr>
        <w:t xml:space="preserve">аккумулируются на бюджетных и специальных счетах.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За эффективное управление, распределение и освоение средств Фонда области персональную ответственность несет полномочный представитель Президента Кыргызской Республики в области, а средств Фонда района – глава местной государственной администрации.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Управление и использование средств Фонда осуществляется в соответствии с принципами законности, открытости, прозрачности, гласности, рациональности и эффективности.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Понятия, применяемые в настоящем Типовом положении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Понятия, применяемые в настоящем Типовом положении:</w:t>
      </w:r>
    </w:p>
    <w:p>
      <w:pPr>
        <w:spacing w:after="120"/>
        <w:ind w:firstLine="709"/>
        <w:jc w:val="both"/>
      </w:pPr>
      <w:r>
        <w:rPr>
          <w:rFonts w:ascii="Arial" w:cs="Arial" w:eastAsia="Arial" w:hAnsi="Arial"/>
          <w:sz w:val="24"/>
          <w:szCs w:val="24"/>
        </w:rPr>
        <w:t xml:space="preserve">1)</w:t>
      </w:r>
      <w:r>
        <w:rPr>
          <w:rFonts w:ascii="Arial" w:cs="Arial" w:eastAsia="Arial" w:hAnsi="Arial"/>
          <w:b/>
          <w:bCs/>
          <w:sz w:val="24"/>
          <w:szCs w:val="24"/>
        </w:rPr>
        <w:t xml:space="preserve">государственное субсидирование местных общественных инициатив – </w:t>
      </w:r>
      <w:r>
        <w:rPr>
          <w:rFonts w:ascii="Arial" w:cs="Arial" w:eastAsia="Arial" w:hAnsi="Arial"/>
          <w:sz w:val="24"/>
          <w:szCs w:val="24"/>
        </w:rPr>
        <w:t xml:space="preserve">денежные средства, предоставляемые для реализации проектов местного сообщества по благоустройству территорий и улучшению условий проживания местного населения в городе/айылном аймаке;</w:t>
      </w:r>
    </w:p>
    <w:p>
      <w:pPr>
        <w:spacing w:after="120"/>
        <w:ind w:firstLine="709"/>
        <w:jc w:val="both"/>
      </w:pPr>
      <w:r>
        <w:rPr>
          <w:rFonts w:ascii="Arial" w:cs="Arial" w:eastAsia="Arial" w:hAnsi="Arial"/>
          <w:sz w:val="24"/>
          <w:szCs w:val="24"/>
        </w:rPr>
        <w:t xml:space="preserve">2)</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ind w:firstLine="709"/>
        <w:jc w:val="both"/>
      </w:pPr>
      <w:r>
        <w:rPr>
          <w:rFonts w:ascii="Arial" w:cs="Arial" w:eastAsia="Arial" w:hAnsi="Arial"/>
          <w:sz w:val="24"/>
          <w:szCs w:val="24"/>
        </w:rPr>
        <w:t xml:space="preserve">3)</w:t>
      </w:r>
      <w:r>
        <w:rPr>
          <w:rFonts w:ascii="Arial" w:cs="Arial" w:eastAsia="Arial" w:hAnsi="Arial"/>
          <w:b/>
          <w:bCs/>
          <w:sz w:val="24"/>
          <w:szCs w:val="24"/>
        </w:rPr>
        <w:t xml:space="preserve">зеленая экономика </w:t>
      </w:r>
      <w:r>
        <w:rPr>
          <w:rFonts w:ascii="Arial" w:cs="Arial" w:eastAsia="Arial" w:hAnsi="Arial"/>
          <w:sz w:val="24"/>
          <w:szCs w:val="24"/>
        </w:rPr>
        <w:t xml:space="preserve">– экономика,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сохраняющая и преумножающая природный капитал, эффективно использующая ресурсы и стимулирующая сохранение естественных экосистем страны;</w:t>
      </w:r>
    </w:p>
    <w:p>
      <w:pPr>
        <w:spacing w:after="120"/>
        <w:ind w:firstLine="709"/>
        <w:jc w:val="both"/>
      </w:pPr>
      <w:r>
        <w:rPr>
          <w:rFonts w:ascii="Arial" w:cs="Arial" w:eastAsia="Arial" w:hAnsi="Arial"/>
          <w:sz w:val="24"/>
          <w:szCs w:val="24"/>
        </w:rPr>
        <w:t xml:space="preserve">4)</w:t>
      </w:r>
      <w:r>
        <w:rPr>
          <w:rFonts w:ascii="Arial" w:cs="Arial" w:eastAsia="Arial" w:hAnsi="Arial"/>
          <w:b/>
          <w:bCs/>
          <w:sz w:val="24"/>
          <w:szCs w:val="24"/>
        </w:rPr>
        <w:t xml:space="preserve">местные общественные инициативы</w:t>
      </w:r>
      <w:r>
        <w:rPr>
          <w:rFonts w:ascii="Arial" w:cs="Arial" w:eastAsia="Arial" w:hAnsi="Arial"/>
          <w:sz w:val="24"/>
          <w:szCs w:val="24"/>
        </w:rPr>
        <w:t xml:space="preserve"> – деятельность жителей, проживающих на территории города/айылного аймака, предпринимателей и организаций гражданского общества по формированию инициативных групп, выдвижению, первоначальному обсуждению, отбору, внесению в органы местного самоуправления проектов, направленных на улучшение условий проживания местного населения в городе/айылном аймаке, а также по мобилизации финансовых, материальных и иных ресурсов местного сообщества и предпринимателей и подготовке (совместно с органами местного самоуправления) проектов для их представления на конкурс по отбору проектов, выдвинутых в рамках инициатив местного сообщества, для финансирования за счет средств Фонда; </w:t>
      </w:r>
    </w:p>
    <w:p>
      <w:pPr>
        <w:spacing w:after="120"/>
        <w:ind w:firstLine="709"/>
        <w:jc w:val="both"/>
      </w:pPr>
      <w:r>
        <w:rPr>
          <w:rFonts w:ascii="Arial" w:cs="Arial" w:eastAsia="Arial" w:hAnsi="Arial"/>
          <w:sz w:val="24"/>
          <w:szCs w:val="24"/>
        </w:rPr>
        <w:t xml:space="preserve">5)</w:t>
      </w:r>
      <w:r>
        <w:rPr>
          <w:rFonts w:ascii="Arial" w:cs="Arial" w:eastAsia="Arial" w:hAnsi="Arial"/>
          <w:b/>
          <w:bCs/>
          <w:sz w:val="24"/>
          <w:szCs w:val="24"/>
        </w:rPr>
        <w:t xml:space="preserve">исполнитель проекта </w:t>
      </w:r>
      <w:r>
        <w:rPr>
          <w:rFonts w:ascii="Arial" w:cs="Arial" w:eastAsia="Arial" w:hAnsi="Arial"/>
          <w:sz w:val="24"/>
          <w:szCs w:val="24"/>
        </w:rPr>
        <w:t xml:space="preserve">– орган местного самоуправления/
 государственный орган/субъект предпринимательства, чья проектная заявка получила одобрение Наблюдательного совета Фонда и заключивший договор с исполнительным органом Фонда на финансирование проекта, за исключением экономических проектов; </w:t>
      </w:r>
    </w:p>
    <w:p>
      <w:pPr>
        <w:spacing w:after="120"/>
        <w:ind w:firstLine="709"/>
        <w:jc w:val="both"/>
      </w:pPr>
      <w:r>
        <w:rPr>
          <w:rFonts w:ascii="Arial" w:cs="Arial" w:eastAsia="Arial" w:hAnsi="Arial"/>
          <w:sz w:val="24"/>
          <w:szCs w:val="24"/>
        </w:rPr>
        <w:t xml:space="preserve">6)</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ind w:firstLine="709"/>
        <w:jc w:val="both"/>
      </w:pPr>
      <w:r>
        <w:rPr>
          <w:rFonts w:ascii="Arial" w:cs="Arial" w:eastAsia="Arial" w:hAnsi="Arial"/>
          <w:sz w:val="24"/>
          <w:szCs w:val="24"/>
        </w:rPr>
        <w:t xml:space="preserve">7)</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ind w:firstLine="709"/>
        <w:jc w:val="both"/>
      </w:pPr>
      <w:r>
        <w:rPr>
          <w:rFonts w:ascii="Arial" w:cs="Arial" w:eastAsia="Arial" w:hAnsi="Arial"/>
          <w:sz w:val="24"/>
          <w:szCs w:val="24"/>
        </w:rPr>
        <w:t xml:space="preserve">8)</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ind w:firstLine="709"/>
        <w:jc w:val="both"/>
      </w:pPr>
      <w:r>
        <w:rPr>
          <w:rFonts w:ascii="Arial" w:cs="Arial" w:eastAsia="Arial" w:hAnsi="Arial"/>
          <w:sz w:val="24"/>
          <w:szCs w:val="24"/>
        </w:rPr>
        <w:t xml:space="preserve">9)</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при поддержке местного сообщества, организованный группой граждан;</w:t>
      </w:r>
    </w:p>
    <w:p>
      <w:pPr>
        <w:spacing w:after="120"/>
        <w:ind w:firstLine="709"/>
        <w:jc w:val="both"/>
      </w:pPr>
      <w:r>
        <w:rPr>
          <w:rFonts w:ascii="Arial" w:cs="Arial" w:eastAsia="Arial" w:hAnsi="Arial"/>
          <w:sz w:val="24"/>
          <w:szCs w:val="24"/>
        </w:rPr>
        <w:t xml:space="preserve">10)</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описывающая этапы и порядок финансирования проекта по траншам и соответствующая плану реализации проекта;</w:t>
      </w:r>
    </w:p>
    <w:p>
      <w:pPr>
        <w:spacing w:after="120"/>
        <w:ind w:firstLine="709"/>
        <w:jc w:val="both"/>
      </w:pPr>
      <w:r>
        <w:rPr>
          <w:rFonts w:ascii="Arial" w:cs="Arial" w:eastAsia="Arial" w:hAnsi="Arial"/>
          <w:sz w:val="24"/>
          <w:szCs w:val="24"/>
        </w:rPr>
        <w:t xml:space="preserve">11)</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использования средств Фонда;</w:t>
      </w:r>
    </w:p>
    <w:p>
      <w:pPr>
        <w:spacing w:after="120"/>
        <w:ind w:firstLine="709"/>
        <w:jc w:val="both"/>
      </w:pPr>
      <w:r>
        <w:rPr>
          <w:rFonts w:ascii="Arial" w:cs="Arial" w:eastAsia="Arial" w:hAnsi="Arial"/>
          <w:sz w:val="24"/>
          <w:szCs w:val="24"/>
        </w:rPr>
        <w:t xml:space="preserve">12)</w:t>
      </w:r>
      <w:r>
        <w:rPr>
          <w:rFonts w:ascii="Arial" w:cs="Arial" w:eastAsia="Arial" w:hAnsi="Arial"/>
          <w:b/>
          <w:bCs/>
          <w:sz w:val="24"/>
          <w:szCs w:val="24"/>
        </w:rPr>
        <w:t xml:space="preserve">поручительство </w:t>
      </w: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механизм обеспечения исполнения обязательств субъектов национальной экономики перед финансово- кредитными, международными и иностранными организациями, предоставляемый со стороны лица, уполномоченного Кабинетом Министров Кыргызской Республики на предоставление поручительства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w:t>
      </w:r>
    </w:p>
    <w:p>
      <w:pPr>
        <w:spacing w:after="120"/>
        <w:ind w:firstLine="709"/>
        <w:jc w:val="both"/>
      </w:pPr>
      <w:r>
        <w:rPr>
          <w:rFonts w:ascii="Arial" w:cs="Arial" w:eastAsia="Arial" w:hAnsi="Arial"/>
          <w:sz w:val="24"/>
          <w:szCs w:val="24"/>
        </w:rPr>
        <w:t xml:space="preserve">13)</w:t>
      </w:r>
      <w:r>
        <w:rPr>
          <w:rFonts w:ascii="Arial" w:cs="Arial" w:eastAsia="Arial" w:hAnsi="Arial"/>
          <w:b/>
          <w:bCs/>
          <w:sz w:val="24"/>
          <w:szCs w:val="24"/>
        </w:rPr>
        <w:t xml:space="preserve">проектная заявка</w:t>
      </w:r>
      <w:r>
        <w:rPr>
          <w:rFonts w:ascii="Arial" w:cs="Arial" w:eastAsia="Arial" w:hAnsi="Arial"/>
          <w:b/>
          <w:bCs/>
          <w:sz w:val="24"/>
          <w:szCs w:val="24"/>
        </w:rPr>
        <w:t xml:space="preserve">–</w:t>
      </w:r>
      <w:r>
        <w:rPr>
          <w:rFonts w:ascii="Arial" w:cs="Arial" w:eastAsia="Arial" w:hAnsi="Arial"/>
          <w:sz w:val="24"/>
          <w:szCs w:val="24"/>
        </w:rPr>
        <w:t xml:space="preserve"> описание проекта на основе типового формата, представленное от имени органа местного самоуправления/государственного органа/субъекта предпринимательства для участия в конкурсе по отбору проектов, финансируемых за счет средств Фонда;</w:t>
      </w:r>
    </w:p>
    <w:p>
      <w:pPr>
        <w:spacing w:after="120"/>
        <w:ind w:firstLine="709"/>
        <w:jc w:val="both"/>
      </w:pPr>
      <w:r>
        <w:rPr>
          <w:rFonts w:ascii="Arial" w:cs="Arial" w:eastAsia="Arial" w:hAnsi="Arial"/>
          <w:sz w:val="24"/>
          <w:szCs w:val="24"/>
        </w:rPr>
        <w:t xml:space="preserve">14)</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сфере образования, культуры, здравоохранения, спорта, социальной защиты, досуга, работы с молодежью, народного творчества в рамках решения вопросов местного значения, направленных на улучшение социальной, экономической и культурной инфраструктуры населенных пунктов, переданных государственных полномочий, а также предоставлению государственных и муниципальных услуг;</w:t>
      </w:r>
    </w:p>
    <w:p>
      <w:pPr>
        <w:spacing w:after="120"/>
        <w:ind w:firstLine="709"/>
        <w:jc w:val="both"/>
      </w:pPr>
      <w:r>
        <w:rPr>
          <w:rFonts w:ascii="Arial" w:cs="Arial" w:eastAsia="Arial" w:hAnsi="Arial"/>
          <w:sz w:val="24"/>
          <w:szCs w:val="24"/>
        </w:rPr>
        <w:t xml:space="preserve">15)</w:t>
      </w:r>
      <w:r>
        <w:rPr>
          <w:rFonts w:ascii="Arial" w:cs="Arial" w:eastAsia="Arial" w:hAnsi="Arial"/>
          <w:b/>
          <w:bCs/>
          <w:sz w:val="24"/>
          <w:szCs w:val="24"/>
        </w:rPr>
        <w:t xml:space="preserve">стартап-проект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создающий значительные улучшения, направленный на решение проблем и получение прибыли;</w:t>
      </w:r>
    </w:p>
    <w:p>
      <w:pPr>
        <w:spacing w:after="120"/>
        <w:ind w:firstLine="709"/>
        <w:jc w:val="both"/>
      </w:pPr>
      <w:r>
        <w:rPr>
          <w:rFonts w:ascii="Arial" w:cs="Arial" w:eastAsia="Arial" w:hAnsi="Arial"/>
          <w:sz w:val="24"/>
          <w:szCs w:val="24"/>
        </w:rPr>
        <w:t xml:space="preserve">16)</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независимо от организационно-правовых форм и форм собственности,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w:t>
      </w:r>
    </w:p>
    <w:p>
      <w:pPr>
        <w:spacing w:after="120"/>
        <w:ind w:firstLine="709"/>
        <w:jc w:val="both"/>
      </w:pPr>
      <w:r>
        <w:rPr>
          <w:rFonts w:ascii="Arial" w:cs="Arial" w:eastAsia="Arial" w:hAnsi="Arial"/>
          <w:sz w:val="24"/>
          <w:szCs w:val="24"/>
        </w:rPr>
        <w:t xml:space="preserve">17)</w:t>
      </w:r>
      <w:r>
        <w:rPr>
          <w:rFonts w:ascii="Arial" w:cs="Arial" w:eastAsia="Arial" w:hAnsi="Arial"/>
          <w:b/>
          <w:bCs/>
          <w:sz w:val="24"/>
          <w:szCs w:val="24"/>
        </w:rPr>
        <w:t xml:space="preserve">уполномоченный агент –</w:t>
      </w:r>
      <w:r>
        <w:rPr>
          <w:rFonts w:ascii="Arial" w:cs="Arial" w:eastAsia="Arial" w:hAnsi="Arial"/>
          <w:sz w:val="24"/>
          <w:szCs w:val="24"/>
        </w:rPr>
        <w:t xml:space="preserve"> лицо, уполномоченное Кабинетом Министров Кыргызской Республики на реализацию государственной политики в области бюджетного кредитования, включая финансирование экономических проектов в виде бюджетного кредитования за счет средств фондов развития регионов;</w:t>
      </w:r>
    </w:p>
    <w:p>
      <w:pPr>
        <w:spacing w:after="120"/>
        <w:ind w:firstLine="709"/>
        <w:jc w:val="both"/>
      </w:pPr>
      <w:r>
        <w:rPr>
          <w:rFonts w:ascii="Arial" w:cs="Arial" w:eastAsia="Arial" w:hAnsi="Arial"/>
          <w:sz w:val="24"/>
          <w:szCs w:val="24"/>
        </w:rPr>
        <w:t xml:space="preserve">18)</w:t>
      </w:r>
      <w:r>
        <w:rPr>
          <w:rFonts w:ascii="Arial" w:cs="Arial" w:eastAsia="Arial" w:hAnsi="Arial"/>
          <w:b/>
          <w:bCs/>
          <w:sz w:val="24"/>
          <w:szCs w:val="24"/>
        </w:rPr>
        <w:t xml:space="preserve">уполномоченное лицо по предоставлению 
 поручительства</w:t>
      </w:r>
      <w:r>
        <w:rPr>
          <w:rFonts w:ascii="Arial" w:cs="Arial" w:eastAsia="Arial" w:hAnsi="Arial"/>
          <w:sz w:val="24"/>
          <w:szCs w:val="24"/>
        </w:rPr>
        <w:t xml:space="preserve"> – лицо, уполномоченное Кабинетом Министров Кыргызской Республики на предоставление поручительства субъектам национальной экономики;</w:t>
      </w:r>
    </w:p>
    <w:p>
      <w:pPr>
        <w:spacing w:after="120"/>
        <w:ind w:firstLine="709"/>
        <w:jc w:val="both"/>
      </w:pPr>
      <w:r>
        <w:rPr>
          <w:rFonts w:ascii="Arial" w:cs="Arial" w:eastAsia="Arial" w:hAnsi="Arial"/>
          <w:sz w:val="24"/>
          <w:szCs w:val="24"/>
        </w:rPr>
        <w:t xml:space="preserve">19)</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реконструкцию или модернизацию действующих производств в целях получения прибыли.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Использование средств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Средства Фонда направляются на реализацию программ социально-экономического развития областей, районов, городов и айылных аймаков, субсидирование местных общественных инициатив, органов местного самоуправления, государственных органов,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Средства Фонда на бюджетном и специальном счетах направляются на финансирование социальных, инфраструктурных проектов и проектов, выдвинутых в рамках государственного субсидирования местных общественных инициатив, экономических проектов, в том числе на: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финансирование экономических проектов посредством бюджетного кредитования, осуществляемого уполномоченным агентом на условиях срочности, платности, обеспеченности и возвратности;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предоставление поручительства субъектам национальной экономики со стороны уполномоченного</w:t>
      </w:r>
      <w:r>
        <w:rPr>
          <w:rFonts w:ascii="Arial" w:cs="Arial" w:eastAsia="Arial" w:hAnsi="Arial"/>
          <w:sz w:val="24"/>
          <w:szCs w:val="24"/>
        </w:rPr>
        <w:t xml:space="preserve">лица по предоставлению поручительства в целях оказания государственной поддержки для обеспечения устойчивого экономического развития регионов;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реализацию экономических проектов участников Национального экономического проекта «Одно село – один продукт» 
 и на поддержку вернувшихся мигрантов в рамках реализации программы 1+1;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разработку проектно-сметной документации и другой технической документации социальных и инфраструктурных, экономических проектов;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проведение мероприятий по обеспечению населения питьевым водоснабжением и системами водоотведения;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ремонт и восстановление ирригационных сетей, гидротехнических объектов, находящихся в государственной и муниципальной собственности;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финансирование проектов дорожного, жилищно-коммунального хозяйства;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приобретение специальной автотранспортной и иной техники для решения вопросов местного значения;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условиях срочности и возвратности посредством заключения соответствующего финансового соглашения;</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проведение мероприятий по благоустройству, озеленению и развитию инфраструктуры населенных пунктов, реализации проектов, выдвинутых в рамках государственного субсидирования местных общественных инициатив;</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продвижение инновационных проектов, направленных на снижение воздействия деятельности на окружающую среду;</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продвижение зеленых проектов для получения дополнительного дохода для субъектов предпринимательства;</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разработку инновационных зеленых продуктов и услуг, включающих использование возобновляемых и чистых источников энергии, энергоэффективных технологий, управление отходами и продвижение принципов зеленой экономики;</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интеграцию передовых зеленых технологий/материалов и новых инновационных подходов и/или экономически эффективных технологий для сокращения выбросов парниковых газов, улучшения качества воздуха;</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продвижение мер по адаптации к изменению климата;</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проведение мероприятий по предупреждению и ликвидации последствий чрезвычайных ситуаций, восстановлению гражданской инфраструктуры и материальной поддержке (обеспечение питанием и жильем, приобретение горюче-смазочных материалов, товаров первой необходимости) пострадавшего населения от 3 до 8 процентов прогнозируемого годового бюджета Фонда</w:t>
      </w:r>
      <w:r>
        <w:rPr>
          <w:rFonts w:ascii="Arial" w:cs="Arial" w:eastAsia="Arial" w:hAnsi="Arial"/>
          <w:sz w:val="24"/>
          <w:szCs w:val="24"/>
        </w:rPr>
        <w:t xml:space="preserve">согласно письменному обращению в случае ЧС территориальных подразделений </w:t>
      </w:r>
      <w:r>
        <w:rPr>
          <w:rFonts w:ascii="Arial" w:cs="Arial" w:eastAsia="Arial" w:hAnsi="Arial"/>
          <w:sz w:val="24"/>
          <w:szCs w:val="24"/>
        </w:rPr>
        <w:t xml:space="preserve">уполномоченного государственного органа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проведение мероприятий по предупреждению и ликвидации неблагоприятных эпидемиологических ситуаций;</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перечисление финансовых средств на счет областных или районных Фондов по решению Наблюдательного совета Фонда; </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иные направления по решению Кабинета Министров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укрепление материально-технической базы и поддержку деятельности в сфере обороны и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 государственных органов;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поддержку одаренных детей и талантов для участия в мероприятиях (образовательных, культурных, музыкальных, спортивных), создания для них условий обучения в образовательных учреждениях, социально уязвимых слоев населения, граждан, попавших в трудную жизненную ситуацию;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финансирование предпринимательской деятельности малоимущих семей, получивших социальную помощь в рамках социального контракта в размере до 50 процентов от полученной суммы на основании заявки.</w:t>
      </w:r>
    </w:p>
    <w:p>
      <w:pPr>
        <w:spacing w:after="120"/>
        <w:ind w:firstLine="709"/>
        <w:jc w:val="both"/>
      </w:pPr>
      <w:r>
        <w:rPr>
          <w:rFonts w:ascii="Arial" w:cs="Arial" w:eastAsia="Arial" w:hAnsi="Arial"/>
          <w:sz w:val="24"/>
          <w:szCs w:val="24"/>
        </w:rPr>
        <w:t xml:space="preserve">Не допускается использование средств Фонда на проведение мероприятий, не предусмотренных настоящим Типовым положением.</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120"/>
        <w:ind w:firstLine="709"/>
        <w:jc w:val="both"/>
      </w:pPr>
      <w:r>
        <w:rPr>
          <w:rFonts w:ascii="Arial" w:cs="Arial" w:eastAsia="Arial" w:hAnsi="Arial"/>
          <w:sz w:val="24"/>
          <w:szCs w:val="24"/>
        </w:rPr>
        <w:t xml:space="preserve">При этом ОАО «ГИК» направляет письменное обращение в исполнительный орган Фонда с приложением соответствующих документов для дальнейшего рассмотрения Наблюдательным советом Фонда.</w:t>
      </w:r>
    </w:p>
    <w:p>
      <w:pPr>
        <w:spacing w:after="120"/>
        <w:ind w:firstLine="709"/>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 возврата средств Фонда, обязанности дополнительных сторон, участвующих в реализации проекта, определяются соответствующим финансовым соглашением.</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Прогнозируемый годовой бюджет Фондов на бюджетных и специальных счетах подлежат распределению в обязательном порядке по следующим категориям расходов: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4490"/>
        <w:gridCol w:w="5090"/>
      </w:tblGrid>
      <w:tr>
        <w:tc>
          <w:tcPr>
            <w:tcW w:type="dxa" w:w="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5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исполнительного органа Фонда</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n1</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n2</w:t>
            </w:r>
          </w:p>
          <w:p>
            <w:pPr>
              <w:jc w:val="left"/>
            </w:pPr>
            <w:r>
              <w:rPr>
                <w:rFonts w:ascii="Arial" w:cs="Arial" w:eastAsia="Arial" w:hAnsi="Arial"/>
                <w:sz w:val="24"/>
                <w:szCs w:val="24"/>
              </w:rPr>
              <w:t xml:space="preserve">– не менее 50 % средств годового бюджета Фонда направляются </w:t>
            </w:r>
          </w:p>
          <w:p>
            <w:pPr>
              <w:jc w:val="left"/>
            </w:pPr>
            <w:r>
              <w:rPr>
                <w:rFonts w:ascii="Arial" w:cs="Arial" w:eastAsia="Arial" w:hAnsi="Arial"/>
                <w:sz w:val="24"/>
                <w:szCs w:val="24"/>
              </w:rPr>
              <w:t xml:space="preserve">на цели бюджетного кредитования, из них, не менее 5 000 000 (пять миллионов) сомов направляются на развитие сельскохозяйственного сектора</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 и проекты, выдвинутые в рамках государственного субсидирования местных общественных инициатив </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n4</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предупреждению и ликвидации чрезвычайных ситуаций</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n5 </w:t>
            </w:r>
          </w:p>
          <w:p>
            <w:pPr>
              <w:jc w:val="center"/>
            </w:pPr>
            <w:r>
              <w:rPr>
                <w:rFonts w:ascii="Arial" w:cs="Arial" w:eastAsia="Arial" w:hAnsi="Arial"/>
                <w:sz w:val="24"/>
                <w:szCs w:val="24"/>
              </w:rPr>
              <w:t xml:space="preserve">(в пределах 3–8 %)</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 + n2 + n3 + n4 + n5 = 100 %</w:t>
            </w:r>
          </w:p>
        </w:tc>
      </w:tr>
    </w:tbl>
    <w:p>
      <w:pPr>
        <w:spacing w:after="120" w:before="120"/>
        <w:ind w:firstLine="709"/>
        <w:jc w:val="both"/>
      </w:pPr>
      <w:r>
        <w:rPr>
          <w:rFonts w:ascii="Arial" w:cs="Arial" w:eastAsia="Arial" w:hAnsi="Arial"/>
          <w:sz w:val="24"/>
          <w:szCs w:val="24"/>
        </w:rPr>
        <w:t xml:space="preserve">По каждой категории расходов средств Фонда процент от общей суммы прогнозируемого годового бюджета Фонда определяется и утверждается решением Наблюдательного совета Фонда не позднее </w:t>
      </w:r>
      <w:r>
        <w:rPr>
          <w:rFonts w:ascii="Arial" w:cs="Arial" w:eastAsia="Arial" w:hAnsi="Arial"/>
          <w:sz w:val="24"/>
          <w:szCs w:val="24"/>
        </w:rPr>
        <w:t xml:space="preserve">
 30 января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Органы управления финансовыми средствами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Органами управления финансовыми средствами Фонда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высший орган управления – Наблюдательный совет Фонда;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исполнительный орган – территориальные подразделения уполномоченного государственного органа по прогнозированию и исполнению бюджета (далее – исполнительный орган Фонда).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Полномочия Наблюдательного совета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Полномочиями Наблюдательного совета Фонда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рассмотрение и утверждение основных направлений и приоритетов использования средств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отбор и утверждение проектов;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отбор субъектов для предоставления </w:t>
      </w:r>
      <w:r>
        <w:rPr>
          <w:rFonts w:ascii="Arial" w:cs="Arial" w:eastAsia="Arial" w:hAnsi="Arial"/>
          <w:sz w:val="24"/>
          <w:szCs w:val="24"/>
        </w:rPr>
        <w:t xml:space="preserve">поручительства 
 в соответствии с Порядком предоставления поручительства субъектам национальной экономики, утвержденным решением Кабинета Министров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принятие решения о заключении или расторжении финансового соглашения между исполнительным органом Фонда и ОАО «ГИК» о получении денежных средств Фонда для реализации проектов по жилищному обеспечению граждан Кыргызской Республики;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принятие решения о проведении аудита использования средств Фонда;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утверждение порядка подачи, рассмотрения и принятия решений по претензиям участников конкурсного отбора;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рассмотрение жалоб и заявлений участников конкурсного отбора;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утверждение </w:t>
      </w:r>
      <w:r>
        <w:rPr>
          <w:rFonts w:ascii="Arial" w:cs="Arial" w:eastAsia="Arial" w:hAnsi="Arial"/>
          <w:sz w:val="24"/>
          <w:szCs w:val="24"/>
        </w:rPr>
        <w:t xml:space="preserve">сметы расходов Фонда по бюджетным средствам и средствам специального счета на каждый финансовый год с учетом ожидаемого поступления средств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утверждение методики проведения мониторинга и оценки эффективности использования средств Фонда;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рассмотрение, утверждение состава группы для проведения мониторинга и оценки эффективности использования средств Фонда и заслушивание отчета мониторинговой группы;</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принятие решения о реализации проекта в соответствии с Законом Кыргызской Республики «О государственных закупках»;</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осуществление контроля за целевым использованием денежных средств Фонда;</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заслушивание и утверждение отчета исполнительного органа Фонда об использовании средств фонда на бюджетных и специальных счетах.</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Наблюдательный совет Фонда для осуществления возложенных на него полномочий имеет право: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запрашивать необходимую для осуществления своей деятельности информацию у исполнительного органа Фонда и мониторинговой группы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отправлять на доработку документы, представленные исполнительным органом и мониторинговой группой Фонда;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Организация деятельности Наблюдательного совета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Члены Наблюдательного совета Фонда участвуют в его работе на общественных началах.</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фамилии, имени, отчества, должности представителя, а также причины в случае замены.</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Число членов Наблюдательного совета Фонда составляет не менее 9 человек.</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В состав Наблюдательного совета Фонда развития области входят: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экономическому прогнозированию;</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области охраны окружающей среды;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w:t>
      </w:r>
      <w:r>
        <w:rPr>
          <w:rFonts w:ascii="Arial" w:cs="Arial" w:eastAsia="Arial" w:hAnsi="Arial"/>
          <w:sz w:val="24"/>
          <w:szCs w:val="24"/>
        </w:rPr>
        <w:t xml:space="preserve">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процентов от общего числа членов Наблюдательного совета Фонда;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В состав Наблюдательного совета Фондов развития района входят: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глава местной государственной администрации;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представитель структурного подразделения местной государственной администрации района в сфере экономики;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сфере агропромышленного комплекса;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процентов от общего числа членов Наблюдательного совета Фонда;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Председателем Наблюдательного совета Фонда развития района является глава местной государственной администрации.</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Состав Наблюдательного совета Фонда развития области утверждается решением полномочного представителя Президента Кыргызской Республики в области на срок не менее 3 лет.</w:t>
      </w:r>
    </w:p>
    <w:p>
      <w:pPr>
        <w:spacing w:after="120"/>
        <w:ind w:firstLine="709"/>
        <w:jc w:val="both"/>
      </w:pPr>
      <w:r>
        <w:rPr>
          <w:rFonts w:ascii="Arial" w:cs="Arial" w:eastAsia="Arial" w:hAnsi="Arial"/>
          <w:sz w:val="24"/>
          <w:szCs w:val="24"/>
        </w:rPr>
        <w:t xml:space="preserve">Состав Наблюдательного совета Фонда развития района утверждается решением главы местной государственной администрации на срок не менее 3 лет.</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Члены Наблюдательного совета Фонда несут персональную ответственность за принимаемые Наблюдательным советом Фонда решения по отбору, оценке, утверждению проектов и предоставлению поручительств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Заседания Наблюдательного совета Фонда созываются по мере необходимости.</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Заседание Наблюдательного совета Фонда считается правомочным, если на нем присутствует не менее половины его состава.</w:t>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Заседания Наблюдательного совета Фонда протоколируются секретарем Наблюдательного совета Фонда, являющимся сотрудником Исполнительного органа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и секретарем. Оригиналы протоколов хранятся в исполнительном органе Фонда.</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Информация о созыве заседания Наблюдательного совета Фонда с указанием повестки дня, времени и места проведения должна быть доведена исполнительным органом Фонда до сведения членов Наблюдательного совета Фонда не позднее чем за десять календарных дней до даты проведения заседания.</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административных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Допускается проведение заседаний Наблюдательного совета Фонда путем использования системы видеоконференцсвязи.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 Исполнительный орган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Исполнительный орган Фонда обеспечивает надлежащее исполнение решений Наблюдательного совета Фонда по вопросам финансирования и реализации проектов.</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Исполнительный орган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осуществляет финансовые операции по реализации проектов на основе решения Наблюдательного совета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несет дисциплинарную ответственность за неисполнение или ненадлежащее исполнение обязанностей, связанных с финансированием и реализацией проектов, за исключением экономических проектов;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 запросу членов Наблюдательного совета Фонда предоставляет информацию об использовании средств Фонда;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открывает бюджетный и специальный счета Фонда в системе казначейства;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проводит предварительный отбор проектов, поступивших от заявителей на предмет полноты представленных документов;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приостанавливает финансирование в случаях нарушения исполнителем проекта условий договора или процедур реализации проекта;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по решению Наблюдательного совета Фонда нанимает консультантов для осуществления мониторинга эффективности реализации проектов, отобранных Наблюдательным советом Фонда;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экономических проектов, а также перечень субъектов на предоставление поручительства;</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разрабатывает, представляет на рассмотрение и утверждение Наблюдательного совета Фонда проект сметы расходов, связанных с реализацией функций исполнительного органа Фонда на предстоящий год;</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проводит работу по организации заседаний Наблюдательного совета Фонда;</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подготавливает информацию для аудита;</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обеспечивает мониторинг реализации проектов, одобренных Наблюдательным советом Фонда;</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осуществляет иные функции и полномочия, направленные на реализацию настоящего Типового положения на основании решений Наблюдательного совета Фонда.</w:t>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Руководитель территориального подразделения уполномоченного государственного органа по прогнозированию и исполнению бюджета выступает в качестве главы исполнительного органа Фонда и в соответствии с решениями Наблюдательного совета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подписывает от имени Фонда двухсторонние договоры с победителями конкурса по отбору проектов, за исключением экономических проектов;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подписывает финансовые соглашения с ОАО «ГИК» на основании решения Наблюдательного совета Фонда;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подписывает платежные документы при финансировании проектов;</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на основании решений Наблюдательного совета Фонда осуществляет иные функции и полномочия, направленные на реализацию настоящего Типового положения.</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Исполнительный орган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Ежеквартально и по итогам каждого года Исполнительный орган Фонда подготавливает и представляет на рассмотрение Наблюдательного совета Фонда и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отчет об использовании средств Фонда за отчетный год и отчет о реализации проектов.</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В начале каждого года, не позднее 30 января текущего года, Исполнительный орган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поступлений в Фонд денежных средств.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представления проектов для финансирования за счет средств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Порядок подачи проектной заявки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Информация о приеме проектных заявок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Заявитель оформляет проектную заявку (в электронном или бумажном формате) на получение финансирования для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709"/>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120"/>
        <w:ind w:firstLine="709"/>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Исполнительный орган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ind w:firstLine="709"/>
        <w:jc w:val="both"/>
      </w:pPr>
      <w:r>
        <w:rPr>
          <w:rFonts w:ascii="Arial" w:cs="Arial" w:eastAsia="Arial" w:hAnsi="Arial"/>
          <w:sz w:val="24"/>
          <w:szCs w:val="24"/>
        </w:rPr>
        <w:t xml:space="preserve">Исполнительный орган Фонда имеет право уточнить информацию у заявителя или запросить дополнительные документы.</w:t>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Исполнительный орган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Предельный срок приема проектных заявок на предстоящий год устанавливается не позднее 15 ноября текущего года.</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Наблюдательный совет Фонда не позднее 15 декабря текущего года проводит заседание по отбору и утверждению проектов.</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Исполнительный орган Фонда не позднее чем за пять дней до начала заседания Наблюдательного совета Фонда направляет копии проектных заявок с приложением заключений всем членам Наблюдательного совета Фонда для предварительного изучения.</w:t>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предусмотренный для финансирования социальных и инфраструктурных проектов и проектов, выдвинутых в рамках государственного субсидирования местных общественных инициатив, в процентном соотношении согласно пункту 12 настоящего Типового положения.</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Перечень проектов утверждается протоколом заседания Наблюдательного совета Фонда и направляется в уполномоченный государственный орган по вопросам прогнозирования и исполнения бюджета в срок, определенный в пункте 79 настоящего Типового положения.</w:t>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120"/>
        <w:ind w:firstLine="709"/>
        <w:jc w:val="both"/>
      </w:pPr>
      <w:r>
        <w:rPr>
          <w:rFonts w:ascii="Arial" w:cs="Arial" w:eastAsia="Arial" w:hAnsi="Arial"/>
          <w:sz w:val="24"/>
          <w:szCs w:val="24"/>
        </w:rPr>
        <w:t xml:space="preserve">52.</w:t>
      </w: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120"/>
        <w:ind w:firstLine="709"/>
        <w:jc w:val="both"/>
      </w:pPr>
      <w:r>
        <w:rPr>
          <w:rFonts w:ascii="Arial" w:cs="Arial" w:eastAsia="Arial" w:hAnsi="Arial"/>
          <w:sz w:val="24"/>
          <w:szCs w:val="24"/>
        </w:rPr>
        <w:t xml:space="preserve">1) наличие подтвержденных фактов нарушения процедур отбора проектов;</w:t>
      </w:r>
    </w:p>
    <w:p>
      <w:pPr>
        <w:spacing w:after="120"/>
        <w:ind w:firstLine="709"/>
        <w:jc w:val="both"/>
      </w:pPr>
      <w:r>
        <w:rPr>
          <w:rFonts w:ascii="Arial" w:cs="Arial" w:eastAsia="Arial" w:hAnsi="Arial"/>
          <w:sz w:val="24"/>
          <w:szCs w:val="24"/>
        </w:rPr>
        <w:t xml:space="preserve">2) наличие подтвержденных фактов о финансировании утвержденного проекта за счет других источников;</w:t>
      </w:r>
    </w:p>
    <w:p>
      <w:pPr>
        <w:spacing w:after="120"/>
        <w:ind w:firstLine="709"/>
        <w:jc w:val="both"/>
      </w:pPr>
      <w:r>
        <w:rPr>
          <w:rFonts w:ascii="Arial" w:cs="Arial" w:eastAsia="Arial" w:hAnsi="Arial"/>
          <w:sz w:val="24"/>
          <w:szCs w:val="24"/>
        </w:rPr>
        <w:t xml:space="preserve">3) наличие удовлетворенной Наблюдательным советом Фонда претензии со стороны других участников отбора;</w:t>
      </w:r>
    </w:p>
    <w:p>
      <w:pPr>
        <w:spacing w:after="120"/>
        <w:ind w:firstLine="709"/>
        <w:jc w:val="both"/>
      </w:pPr>
      <w:r>
        <w:rPr>
          <w:rFonts w:ascii="Arial" w:cs="Arial" w:eastAsia="Arial" w:hAnsi="Arial"/>
          <w:sz w:val="24"/>
          <w:szCs w:val="24"/>
        </w:rPr>
        <w:t xml:space="preserve">4) отказ заявителя от участия в конкурсе по отбору проектов для финансирования за счет средств Фонда.</w:t>
      </w:r>
    </w:p>
    <w:p>
      <w:pPr>
        <w:spacing w:after="120"/>
        <w:ind w:firstLine="709"/>
        <w:jc w:val="both"/>
      </w:pPr>
      <w:r>
        <w:rPr>
          <w:rFonts w:ascii="Arial" w:cs="Arial" w:eastAsia="Arial" w:hAnsi="Arial"/>
          <w:sz w:val="24"/>
          <w:szCs w:val="24"/>
        </w:rPr>
        <w:t xml:space="preserve">53.</w:t>
      </w:r>
      <w:r>
        <w:rPr>
          <w:rFonts w:ascii="Arial" w:cs="Arial" w:eastAsia="Arial" w:hAnsi="Arial"/>
          <w:sz w:val="24"/>
          <w:szCs w:val="24"/>
        </w:rPr>
        <w:t xml:space="preserve">По итогам отбора проектов руководитель территориального подразделения уполномоченного государственного органа по прогнозированию и исполнению бюджета в качестве главы исполнительного органа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подачи проектной заявки на финансирование экономических проектов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Исполнительный орган Фонда осуществляет прием заявок на финансирование экономических проектов от субъектов предпринимательства по мере поступления. </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Исполнительный орган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уточняет информацию у заявителя или запрашивает дополнительные документы и направляет на ознакомление членам Наблюдательного совета Фонда.</w:t>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Исполнительный орган Фонда прилагает к каждой проектной заявке свое заключение, в котором указывается соответствие заявки и ее приложений требованиям настоящего Типового положения.</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120"/>
        <w:ind w:firstLine="709"/>
        <w:jc w:val="both"/>
      </w:pPr>
      <w:r>
        <w:rPr>
          <w:rFonts w:ascii="Arial" w:cs="Arial" w:eastAsia="Arial" w:hAnsi="Arial"/>
          <w:sz w:val="24"/>
          <w:szCs w:val="24"/>
        </w:rPr>
        <w:t xml:space="preserve">Отобранные экономические проекты должны способствовать повышению социально-экономического развития региона, увеличению промышленной базы, созданию рабочих мест из числа местного населения и поступлению дополнительных средств в соответствующие бюджеты, а также повышению экономической, продовольственной, энергетической и экологической безопасности региона.</w:t>
      </w:r>
    </w:p>
    <w:p>
      <w:pPr>
        <w:spacing w:after="120"/>
        <w:ind w:firstLine="709"/>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предназначенных для финансирования экономических проектов.</w:t>
      </w:r>
    </w:p>
    <w:p>
      <w:pPr>
        <w:spacing w:after="120"/>
        <w:ind w:firstLine="709"/>
        <w:jc w:val="both"/>
      </w:pPr>
      <w:r>
        <w:rPr>
          <w:rFonts w:ascii="Arial" w:cs="Arial" w:eastAsia="Arial" w:hAnsi="Arial"/>
          <w:sz w:val="24"/>
          <w:szCs w:val="24"/>
        </w:rPr>
        <w:t xml:space="preserve">Минимальная сумма баллов не должна быть менее 
 80 баллов согласно критериям отбора экономических проектов, 
 в противном случае экономические проекты подлежат отклонению. </w:t>
      </w:r>
    </w:p>
    <w:p>
      <w:pPr>
        <w:spacing w:after="120"/>
        <w:ind w:firstLine="709"/>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Перечень проектов утверждается протоколом заседания Наблюдательного совета Фонда и направляется уполномоченному агенту с предоставлением копии решения Наблюдательного совета Фонда. Заявители одобренных проектов уведомляются не позднее 
 трех рабочих дней после проведенного заседания Наблюдательного совета Фонда. </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Заявители проектов, одобренных решением Наблюдательного совета фонда, обращаются уполномоченному агенту для дальнейшей подачи необходимых документов в соответствии с требованиями настоящего Типового положения и Положения о работе с бюджетными кредитами, утверждаемого решением Кабинета Министров Кыргызской Республики (далее – Положение о работе с бюджетными кредитами). </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Уполномоченный агент осуществляет дальнейший отбор проектов для бюджетного кредитования в соответствии с требованиями настоящего Типового положения и Положения о работе с бюджетными кредитами.</w:t>
      </w:r>
    </w:p>
    <w:p>
      <w:pPr>
        <w:spacing w:after="120"/>
        <w:ind w:firstLine="709"/>
        <w:jc w:val="both"/>
      </w:pPr>
      <w:r>
        <w:rPr>
          <w:rFonts w:ascii="Arial" w:cs="Arial" w:eastAsia="Arial" w:hAnsi="Arial"/>
          <w:sz w:val="24"/>
          <w:szCs w:val="24"/>
        </w:rPr>
        <w:t xml:space="preserve">В случае соответствия установленным требованиям настоящего Типового положения и Положения о работе с бюджетными кредитами, а также при наличии всех необходимых документов уполномоченный агент заключает соответствующие кредитные договоры с заявителями. </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Проекты, не соответствующие установленным требованиям настоящего Типового положения и Положения о работе с бюджетными кредитами, могут быть возвращены со стороны уполномоченного агента для устранения недостатков. </w:t>
      </w:r>
    </w:p>
    <w:p>
      <w:pPr>
        <w:spacing w:after="120"/>
        <w:ind w:firstLine="709"/>
        <w:jc w:val="both"/>
      </w:pPr>
      <w:r>
        <w:rPr>
          <w:rFonts w:ascii="Arial" w:cs="Arial" w:eastAsia="Arial" w:hAnsi="Arial"/>
          <w:sz w:val="24"/>
          <w:szCs w:val="24"/>
        </w:rPr>
        <w:t xml:space="preserve">В случае если заявителем в течение одного календарного месяца не устранены выявленные недостатки, проект подлежит отклонению.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Порядок финансирования экономических проектов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Экономические проекты, планируемые к финансированию через уполномоченного агента в виде бюджетного кредитования, должны способствовать социально-экономическому развитию региона, а также развитию сельскохозяйственного сектора. </w:t>
      </w:r>
    </w:p>
    <w:p>
      <w:pPr>
        <w:spacing w:after="120"/>
        <w:ind w:firstLine="709"/>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назначения) и иных товаров, изъятых из гражданского оборота или ограниченных в гражданском обороте, а также использующие принудительный и детский труд и прочие запрещенные законодательством Кыргызской Республики виды деятельности.</w:t>
      </w:r>
    </w:p>
    <w:p>
      <w:pPr>
        <w:spacing w:after="120"/>
        <w:ind w:firstLine="709"/>
        <w:jc w:val="both"/>
      </w:pPr>
      <w:r>
        <w:rPr>
          <w:rFonts w:ascii="Arial" w:cs="Arial" w:eastAsia="Arial" w:hAnsi="Arial"/>
          <w:sz w:val="24"/>
          <w:szCs w:val="24"/>
        </w:rPr>
        <w:t xml:space="preserve">Не подлежат к финансированию проекты, включающие в себя рефинансирование ранее полученных кредитных средств у финансово-кредитных организаций и на погашение ранее образовавшихся задолженностей перед бюджетом (по налогам и страховым взносам). </w:t>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На финансирование одного проекта путем предоставления бюджетного кредита направляется не более 20 процентов средств Фонда, предназначенных на финансирование экономических проектов, за исключением фондов, где предусмотренный годовой бюджет на финансирование экономических проектов менее 15 000 000 (пятнадцать миллионов) сомов. </w:t>
      </w:r>
    </w:p>
    <w:p>
      <w:pPr>
        <w:spacing w:after="120"/>
        <w:ind w:firstLine="709"/>
        <w:jc w:val="both"/>
      </w:pPr>
      <w:r>
        <w:rPr>
          <w:rFonts w:ascii="Arial" w:cs="Arial" w:eastAsia="Arial" w:hAnsi="Arial"/>
          <w:sz w:val="24"/>
          <w:szCs w:val="24"/>
        </w:rPr>
        <w:t xml:space="preserve">В случае, когда стоимость экономических проектов превышает данный показатель, субъект предпринимательства привлекает софинансирование со стороны финансовых институтов для финансирования недостающей части суммы проекта.</w:t>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Финансирование экономических проектов сельскохозяйственного сектора должно быть направлено на хранение, переработку и обработку сельскохозяйственной продукции, а также приобретение оборудования на цели развития агропромышленного комплекса.</w:t>
      </w:r>
    </w:p>
    <w:p>
      <w:pPr>
        <w:spacing w:after="120"/>
        <w:ind w:firstLine="709"/>
        <w:jc w:val="both"/>
      </w:pPr>
      <w:r>
        <w:rPr>
          <w:rFonts w:ascii="Arial" w:cs="Arial" w:eastAsia="Arial" w:hAnsi="Arial"/>
          <w:sz w:val="24"/>
          <w:szCs w:val="24"/>
        </w:rPr>
        <w:t xml:space="preserve">65.</w:t>
      </w:r>
      <w:r>
        <w:rPr>
          <w:rFonts w:ascii="Arial" w:cs="Arial" w:eastAsia="Arial" w:hAnsi="Arial"/>
          <w:sz w:val="24"/>
          <w:szCs w:val="24"/>
        </w:rPr>
        <w:t xml:space="preserve">Бюджетное кредитование за счет средств Фонда осуществляется уполномоченным агентом на условиях, определенных настоящим Типовым положением и Положением о работе с бюджетными кредитами, в части, не урегулированной настоящим Типовым положением.</w:t>
      </w:r>
    </w:p>
    <w:p>
      <w:pPr>
        <w:spacing w:after="120"/>
        <w:ind w:firstLine="709"/>
        <w:jc w:val="both"/>
      </w:pPr>
      <w:r>
        <w:rPr>
          <w:rFonts w:ascii="Arial" w:cs="Arial" w:eastAsia="Arial" w:hAnsi="Arial"/>
          <w:sz w:val="24"/>
          <w:szCs w:val="24"/>
        </w:rPr>
        <w:t xml:space="preserve">Для предоставления бюджетных кредитов за счет средств Фонда не требуется решение Кабинета Министров Кыргызской Республики.</w:t>
      </w:r>
    </w:p>
    <w:p>
      <w:pPr>
        <w:spacing w:after="120"/>
        <w:ind w:firstLine="709"/>
        <w:jc w:val="both"/>
      </w:pPr>
      <w:r>
        <w:rPr>
          <w:rFonts w:ascii="Arial" w:cs="Arial" w:eastAsia="Arial" w:hAnsi="Arial"/>
          <w:sz w:val="24"/>
          <w:szCs w:val="24"/>
        </w:rPr>
        <w:t xml:space="preserve">66.</w:t>
      </w:r>
      <w:r>
        <w:rPr>
          <w:rFonts w:ascii="Arial" w:cs="Arial" w:eastAsia="Arial" w:hAnsi="Arial"/>
          <w:sz w:val="24"/>
          <w:szCs w:val="24"/>
        </w:rPr>
        <w:t xml:space="preserve">Условия бюджетного кредитования за счет средств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платность – процентная ставка за пользование кредитом – 
 2 процента годовых;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неустойка (пени) – 6 процентов годовых;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предоставление субъектом предпринимательства обеспечения исполнения обязательств по возврату бюджетного кредита в виде ликвидного залога, банковской гарантии или иными способами обеспечения обязательств в соответствии с нормами гражданского законодательства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платежеспособность получателей бюджетных кредитов, включающая в себя:</w:t>
      </w:r>
    </w:p>
    <w:p>
      <w:pPr>
        <w:spacing w:after="120"/>
        <w:ind w:firstLine="709"/>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120"/>
        <w:ind w:firstLine="709"/>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срочность – бюджетные кредиты предоставляются на следующие сроки:</w:t>
      </w:r>
    </w:p>
    <w:p>
      <w:pPr>
        <w:spacing w:after="120"/>
        <w:ind w:firstLine="709"/>
        <w:jc w:val="both"/>
      </w:pPr>
      <w:r>
        <w:rPr>
          <w:rFonts w:ascii="Arial" w:cs="Arial" w:eastAsia="Arial" w:hAnsi="Arial"/>
          <w:sz w:val="24"/>
          <w:szCs w:val="24"/>
        </w:rPr>
        <w:t xml:space="preserve">– в сумме до 3 000 000 (три миллиона) сомов – до 5 лет;</w:t>
      </w:r>
    </w:p>
    <w:p>
      <w:pPr>
        <w:spacing w:after="120"/>
        <w:ind w:firstLine="709"/>
        <w:jc w:val="both"/>
      </w:pPr>
      <w:r>
        <w:rPr>
          <w:rFonts w:ascii="Arial" w:cs="Arial" w:eastAsia="Arial" w:hAnsi="Arial"/>
          <w:sz w:val="24"/>
          <w:szCs w:val="24"/>
        </w:rPr>
        <w:t xml:space="preserve">– в сумме от 3 000 000 (три миллиона) сомов до 5 000 000 (пять миллионов) сомов – до 7 лет;</w:t>
      </w:r>
    </w:p>
    <w:p>
      <w:pPr>
        <w:spacing w:after="120"/>
        <w:ind w:firstLine="709"/>
        <w:jc w:val="both"/>
      </w:pPr>
      <w:r>
        <w:rPr>
          <w:rFonts w:ascii="Arial" w:cs="Arial" w:eastAsia="Arial" w:hAnsi="Arial"/>
          <w:sz w:val="24"/>
          <w:szCs w:val="24"/>
        </w:rPr>
        <w:t xml:space="preserve">– в сумме более 5 000 000 (пять миллионов) сомов – до 10 лет;</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возрастной предел – для физических лиц и индивидуальных предпринимателей: возраст заемщика и поручителя на дату полного погашения бюджетного кредита не должен превышать 68 (шестьдесят восемь) лет.</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Бюджетное кредитование стартап-проектов, направленных на решение вопросов местного значения, осуществляется в соответствии с требованиями Положения о работе с бюджетными кредитами.</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Основная сумма, проценты за пользование, финансовая санкция (неустойка) по бюджетным кредитам подлежат возврату в республиканский бюджет в соответствии с условиями заключенных кредитных договоров. </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Льготный период по погашению основной суммы бюджетного кредита предоставляется с учетом специфики экономического проекта на срок не более 12 месяцев. </w:t>
      </w:r>
    </w:p>
    <w:p>
      <w:pPr>
        <w:spacing w:after="120"/>
        <w:ind w:firstLine="709"/>
        <w:jc w:val="both"/>
      </w:pPr>
      <w:r>
        <w:rPr>
          <w:rFonts w:ascii="Arial" w:cs="Arial" w:eastAsia="Arial" w:hAnsi="Arial"/>
          <w:sz w:val="24"/>
          <w:szCs w:val="24"/>
        </w:rPr>
        <w:t xml:space="preserve">70.</w:t>
      </w:r>
      <w:r>
        <w:rPr>
          <w:rFonts w:ascii="Arial" w:cs="Arial" w:eastAsia="Arial" w:hAnsi="Arial"/>
          <w:sz w:val="24"/>
          <w:szCs w:val="24"/>
        </w:rPr>
        <w:t xml:space="preserve">Сроки и периодичность погашения основной суммы долга и процентов по бюджетным кредитам устанавливаются в соответствии с графиком погашения, являющимся неотъемлемой частью кредитного договора. </w:t>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Исполнительный орган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 мере поступления осуществляет сбор заявок субъектов предпринимательства и выносит их на рассмотрение Наблюдательного совета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предоставляет уполномоченному агенту и заявителям копию решения Наблюдательного совета Фонда с перечнем одобренных экономических проектов;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случае отклонения проекта со стороны уполномоченного агента, вносит на рассмотрение Наблюдательного совета Фонда новый перечень экономических проектов.</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Уполномоченный агент:</w:t>
      </w:r>
    </w:p>
    <w:p>
      <w:pPr>
        <w:spacing w:after="120"/>
        <w:ind w:firstLine="709"/>
        <w:jc w:val="both"/>
      </w:pPr>
      <w:r>
        <w:rPr>
          <w:rFonts w:ascii="Arial" w:cs="Arial" w:eastAsia="Arial" w:hAnsi="Arial"/>
          <w:sz w:val="24"/>
          <w:szCs w:val="24"/>
        </w:rPr>
        <w:t xml:space="preserve">1) рассматривает поступившие кредитные заявки субъектов предпринимательства, ранее одобренные решением Наблюдательного совета Фонда на предмет их соответствия требованиям, установленным настоящим Типовым положением и Положением о работе с бюджетными кредитами;</w:t>
      </w:r>
    </w:p>
    <w:p>
      <w:pPr>
        <w:spacing w:after="120"/>
        <w:ind w:firstLine="709"/>
        <w:jc w:val="both"/>
      </w:pPr>
      <w:r>
        <w:rPr>
          <w:rFonts w:ascii="Arial" w:cs="Arial" w:eastAsia="Arial" w:hAnsi="Arial"/>
          <w:sz w:val="24"/>
          <w:szCs w:val="24"/>
        </w:rPr>
        <w:t xml:space="preserve">2) заключает кредитные договоры с отобранными субъектами предпринимательства;</w:t>
      </w:r>
    </w:p>
    <w:p>
      <w:pPr>
        <w:spacing w:after="120"/>
        <w:ind w:firstLine="709"/>
        <w:jc w:val="both"/>
      </w:pPr>
      <w:r>
        <w:rPr>
          <w:rFonts w:ascii="Arial" w:cs="Arial" w:eastAsia="Arial" w:hAnsi="Arial"/>
          <w:sz w:val="24"/>
          <w:szCs w:val="24"/>
        </w:rPr>
        <w:t xml:space="preserve">3) осуществляет администрирование выданных бюджетных кредитов;</w:t>
      </w:r>
    </w:p>
    <w:p>
      <w:pPr>
        <w:spacing w:after="120"/>
        <w:ind w:firstLine="709"/>
        <w:jc w:val="both"/>
      </w:pPr>
      <w:r>
        <w:rPr>
          <w:rFonts w:ascii="Arial" w:cs="Arial" w:eastAsia="Arial" w:hAnsi="Arial"/>
          <w:sz w:val="24"/>
          <w:szCs w:val="24"/>
        </w:rPr>
        <w:t xml:space="preserve">4) несет ответственность за неисполнение или ненадлежащее исполнение обязанностей, связанных с реализацией экономических проектов и предоставлением поручительств. </w:t>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Суммы бюджетных кредитов перечисляются на счета субъектов предпринимательства (заемщики) на основании заключенных кредитных договоров по письменной заявке уполномоченного агента.</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Ежеквартально и по итогам завершения работ по экономическому проекту исполнитель проекта предоставляет </w:t>
      </w:r>
      <w:r>
        <w:rPr>
          <w:rFonts w:ascii="Arial" w:cs="Arial" w:eastAsia="Arial" w:hAnsi="Arial"/>
          <w:sz w:val="24"/>
          <w:szCs w:val="24"/>
        </w:rPr>
        <w:t xml:space="preserve">уполномоченному агенту </w:t>
      </w:r>
      <w:r>
        <w:rPr>
          <w:rFonts w:ascii="Arial" w:cs="Arial" w:eastAsia="Arial" w:hAnsi="Arial"/>
          <w:sz w:val="24"/>
          <w:szCs w:val="24"/>
        </w:rPr>
        <w:t xml:space="preserve">финансовый отчет и отчет о ходе реализации проекта по установленной форме.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Обязательства исполнителя проекта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Исполнитель проекта обязан: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обеспечить реализацию проекта в соответствии с заключенным договором между исполнителем проекта и исполнительным органом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обеспечить при необходимости мобилизацию местного сообщества для участия в реализации проекта;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проводить закупки товаров, работ и услуг по проекту в соответствии с законодательством Кыргызской Республики о государственных закупках;</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обеспечить при необходимости технический надзор со стороны органов местного самоуправления за исполнением проекта;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информировать население о ходе реализации проекта на всех этапах реализации проекта на основе результатов мониторинга.</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Ежеквартально и по итогам завершения работ по проекту исполнитель проекта предоставляет исполнительному органу Фонда и/или </w:t>
      </w:r>
      <w:r>
        <w:rPr>
          <w:rFonts w:ascii="Arial" w:cs="Arial" w:eastAsia="Arial" w:hAnsi="Arial"/>
          <w:sz w:val="24"/>
          <w:szCs w:val="24"/>
        </w:rPr>
        <w:t xml:space="preserve">уполномоченному агенту </w:t>
      </w:r>
      <w:r>
        <w:rPr>
          <w:rFonts w:ascii="Arial" w:cs="Arial" w:eastAsia="Arial" w:hAnsi="Arial"/>
          <w:sz w:val="24"/>
          <w:szCs w:val="24"/>
        </w:rPr>
        <w:t xml:space="preserve">финансовый отчет и отчет о ходе реализации проекта по установленной форме.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Порядок формирования и расходования финансовых средств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Порядок формирования финансовых средств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Финансовые средства Фонда формируются:</w:t>
      </w:r>
    </w:p>
    <w:p>
      <w:pPr>
        <w:spacing w:after="120"/>
        <w:ind w:firstLine="709"/>
        <w:jc w:val="both"/>
      </w:pPr>
      <w:r>
        <w:rPr>
          <w:rFonts w:ascii="Arial" w:cs="Arial" w:eastAsia="Arial" w:hAnsi="Arial"/>
          <w:sz w:val="24"/>
          <w:szCs w:val="24"/>
        </w:rPr>
        <w:t xml:space="preserve">1) по бюджетным счетам за счет средств:</w:t>
      </w:r>
    </w:p>
    <w:p>
      <w:pPr>
        <w:spacing w:after="120"/>
        <w:ind w:firstLine="709"/>
        <w:jc w:val="both"/>
      </w:pPr>
      <w:r>
        <w:rPr>
          <w:rFonts w:ascii="Arial" w:cs="Arial" w:eastAsia="Arial" w:hAnsi="Arial"/>
          <w:sz w:val="24"/>
          <w:szCs w:val="24"/>
        </w:rPr>
        <w:t xml:space="preserve">–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 выделяемых из республиканского бюджета, согласно пунктам 100–103 настоящего Типового положения;</w:t>
      </w:r>
    </w:p>
    <w:p>
      <w:pPr>
        <w:spacing w:after="120"/>
        <w:ind w:firstLine="709"/>
        <w:jc w:val="both"/>
      </w:pPr>
      <w:r>
        <w:rPr>
          <w:rFonts w:ascii="Arial" w:cs="Arial" w:eastAsia="Arial" w:hAnsi="Arial"/>
          <w:sz w:val="24"/>
          <w:szCs w:val="24"/>
        </w:rPr>
        <w:t xml:space="preserve">2) по специальным счетам за счет:</w:t>
      </w:r>
    </w:p>
    <w:p>
      <w:pPr>
        <w:spacing w:after="120"/>
        <w:ind w:firstLine="709"/>
        <w:jc w:val="both"/>
      </w:pPr>
      <w:r>
        <w:rPr>
          <w:rFonts w:ascii="Arial" w:cs="Arial" w:eastAsia="Arial" w:hAnsi="Arial"/>
          <w:sz w:val="24"/>
          <w:szCs w:val="24"/>
        </w:rPr>
        <w:t xml:space="preserve">– средств, полученных в результате возврата ОАО «ГИК» основного долга согласно заключенному финансовому соглашению;</w:t>
      </w:r>
    </w:p>
    <w:p>
      <w:pPr>
        <w:spacing w:after="120"/>
        <w:ind w:firstLine="709"/>
        <w:jc w:val="both"/>
      </w:pPr>
      <w:r>
        <w:rPr>
          <w:rFonts w:ascii="Arial" w:cs="Arial" w:eastAsia="Arial" w:hAnsi="Arial"/>
          <w:sz w:val="24"/>
          <w:szCs w:val="24"/>
        </w:rPr>
        <w:t xml:space="preserve">– средств, полученных в результате возврата уполномоченным агентом основной суммы бюджетного кредита, процентов и финансовых санкций (пени);</w:t>
      </w:r>
    </w:p>
    <w:p>
      <w:pPr>
        <w:spacing w:after="120"/>
        <w:ind w:firstLine="709"/>
        <w:jc w:val="both"/>
      </w:pPr>
      <w:r>
        <w:rPr>
          <w:rFonts w:ascii="Arial" w:cs="Arial" w:eastAsia="Arial" w:hAnsi="Arial"/>
          <w:sz w:val="24"/>
          <w:szCs w:val="24"/>
        </w:rPr>
        <w:t xml:space="preserve">– средств, поступающих в виде спонсорской помощи и добровольных взносов;</w:t>
      </w:r>
    </w:p>
    <w:p>
      <w:pPr>
        <w:spacing w:after="120"/>
        <w:ind w:firstLine="709"/>
        <w:jc w:val="both"/>
      </w:pPr>
      <w:r>
        <w:rPr>
          <w:rFonts w:ascii="Arial" w:cs="Arial" w:eastAsia="Arial" w:hAnsi="Arial"/>
          <w:sz w:val="24"/>
          <w:szCs w:val="24"/>
        </w:rPr>
        <w:t xml:space="preserve">– средств, поступающих в виде благотворительной или грантовой помощи;</w:t>
      </w:r>
    </w:p>
    <w:p>
      <w:pPr>
        <w:spacing w:after="120"/>
        <w:ind w:firstLine="709"/>
        <w:jc w:val="both"/>
      </w:pPr>
      <w:r>
        <w:rPr>
          <w:rFonts w:ascii="Arial" w:cs="Arial" w:eastAsia="Arial" w:hAnsi="Arial"/>
          <w:sz w:val="24"/>
          <w:szCs w:val="24"/>
        </w:rPr>
        <w:t xml:space="preserve">– средств, поступающих в виде отчислений от международных институтов для проведения совместной научно-исследовательской работы;</w:t>
      </w:r>
    </w:p>
    <w:p>
      <w:pPr>
        <w:spacing w:after="120"/>
        <w:ind w:firstLine="709"/>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расходования денежных средств Фонда на реализацию проектов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Исполнительный орган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12 настоящего Типового положения.</w:t>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Уполномоченный государственный орган по прогнозированию и исполнению бюджета утверждает годовые бюджеты Фондов.</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Источником формирования средств для предоставления поручительства являются средства, ежегодно предусматриваемые уполномоченным государственным органом </w:t>
      </w:r>
      <w:r>
        <w:rPr>
          <w:rFonts w:ascii="Arial" w:cs="Arial" w:eastAsia="Arial" w:hAnsi="Arial"/>
          <w:sz w:val="24"/>
          <w:szCs w:val="24"/>
        </w:rPr>
        <w:t xml:space="preserve">по прогнозированию и исполнению бюджета </w:t>
      </w:r>
      <w:r>
        <w:rPr>
          <w:rFonts w:ascii="Arial" w:cs="Arial" w:eastAsia="Arial" w:hAnsi="Arial"/>
          <w:sz w:val="24"/>
          <w:szCs w:val="24"/>
        </w:rPr>
        <w:t xml:space="preserve">путем их перечисления </w:t>
      </w:r>
      <w:r>
        <w:rPr>
          <w:rFonts w:ascii="Arial" w:cs="Arial" w:eastAsia="Arial" w:hAnsi="Arial"/>
          <w:sz w:val="24"/>
          <w:szCs w:val="24"/>
        </w:rPr>
        <w:t xml:space="preserve">на увеличение уставного капитала уполномоченного лица по предоставлению поручительства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Уполномоченное лицо по предоставлению поручительства предоставляет поручительство субъектам, осуществляющим деятельность в регионах, городах и областях республики, за исключением городов Бишкек и Ош,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 </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Исполнительный орган Фонда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Исполнительный орган Фонда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Учет и отчетность о движении денежных средств Фонда ведутся в соответствии с бюджетным законодательством Кыргызской Республики.</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Финансирование социальных и инфраструктурных проектов и проектов, выдвинутых в рамках субсидирования местных общественных инициатив, осуществляется на основе двухстороннего договора, подписанного между исполнительным органом Фонда и исполнителем проекта.</w:t>
      </w:r>
    </w:p>
    <w:p>
      <w:pPr>
        <w:spacing w:after="120"/>
        <w:ind w:firstLine="709"/>
        <w:jc w:val="both"/>
      </w:pPr>
      <w:r>
        <w:rPr>
          <w:rFonts w:ascii="Arial" w:cs="Arial" w:eastAsia="Arial" w:hAnsi="Arial"/>
          <w:sz w:val="24"/>
          <w:szCs w:val="24"/>
        </w:rPr>
        <w:t xml:space="preserve">Финансирование экономических проектов осуществляется через уполномоченного агента в установленном порядке согласно законодательству Кыргызской Республики по бюджетному кредитованию и предоставлению поручительств субъектам национальной экономики. </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исполнительным органом Фонда, ОАО «ГИК» и другими участниками проекта (при наличии).</w:t>
      </w:r>
    </w:p>
    <w:p>
      <w:pPr>
        <w:spacing w:after="120"/>
        <w:ind w:firstLine="709"/>
        <w:jc w:val="both"/>
      </w:pPr>
      <w:r>
        <w:rPr>
          <w:rFonts w:ascii="Arial" w:cs="Arial" w:eastAsia="Arial" w:hAnsi="Arial"/>
          <w:sz w:val="24"/>
          <w:szCs w:val="24"/>
        </w:rPr>
        <w:t xml:space="preserve">90.</w:t>
      </w:r>
      <w:r>
        <w:rPr>
          <w:rFonts w:ascii="Arial" w:cs="Arial" w:eastAsia="Arial" w:hAnsi="Arial"/>
          <w:sz w:val="24"/>
          <w:szCs w:val="24"/>
        </w:rPr>
        <w:t xml:space="preserve">Мониторинг и контроль за выплатами по проектам осуществляется исполнительным органом Фонда. Исполнительный орган Фонда в установленном порядке представляет отчеты:</w:t>
      </w:r>
    </w:p>
    <w:p>
      <w:pPr>
        <w:spacing w:after="120"/>
        <w:ind w:firstLine="709"/>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120"/>
        <w:ind w:firstLine="709"/>
        <w:jc w:val="both"/>
      </w:pPr>
      <w:r>
        <w:rPr>
          <w:rFonts w:ascii="Arial" w:cs="Arial" w:eastAsia="Arial" w:hAnsi="Arial"/>
          <w:sz w:val="24"/>
          <w:szCs w:val="24"/>
        </w:rPr>
        <w:t xml:space="preserve">2) о реализации проектов в уполномоченный государственный орган по экономическому прогнозированию.</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Финансирование социальных и инфраструктурных проектов и проектов, выдвинутых в рамках субсидирования местных общественных инициатив, осуществляется траншами на основе акта выполненных работ согласно графику реализации проекта, представленного исполнителем проекта исполнительному органу Фонда.</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Неосвоенные на конец текущего года остатки средств Фонда в установленном порядке возвращаются в республиканский бюджет.</w:t>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Денежные средства Фонда, возвращенные ОАО «ГИК», являются остатками Фонда в текущем году и утверждаются как средства соответствующего Фонда в планируемом году.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Мониторинг и оценка использования средств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Мониторинг эффективности использования средств Фонда проводится на предмет:</w:t>
      </w:r>
    </w:p>
    <w:p>
      <w:pPr>
        <w:spacing w:after="120"/>
        <w:ind w:firstLine="709"/>
        <w:jc w:val="both"/>
      </w:pPr>
      <w:r>
        <w:rPr>
          <w:rFonts w:ascii="Arial" w:cs="Arial" w:eastAsia="Arial" w:hAnsi="Arial"/>
          <w:sz w:val="24"/>
          <w:szCs w:val="24"/>
        </w:rPr>
        <w:t xml:space="preserve">1) соблюдения целевого использования средств и его соответствия утвержденным планам;</w:t>
      </w:r>
    </w:p>
    <w:p>
      <w:pPr>
        <w:spacing w:after="120"/>
        <w:ind w:firstLine="709"/>
        <w:jc w:val="both"/>
      </w:pPr>
      <w:r>
        <w:rPr>
          <w:rFonts w:ascii="Arial" w:cs="Arial" w:eastAsia="Arial" w:hAnsi="Arial"/>
          <w:sz w:val="24"/>
          <w:szCs w:val="24"/>
        </w:rPr>
        <w:t xml:space="preserve">2) оценки эффективности выполнения проектов и программы кредитования;</w:t>
      </w:r>
    </w:p>
    <w:p>
      <w:pPr>
        <w:spacing w:after="120"/>
        <w:ind w:firstLine="709"/>
        <w:jc w:val="both"/>
      </w:pPr>
      <w:r>
        <w:rPr>
          <w:rFonts w:ascii="Arial" w:cs="Arial" w:eastAsia="Arial" w:hAnsi="Arial"/>
          <w:sz w:val="24"/>
          <w:szCs w:val="24"/>
        </w:rPr>
        <w:t xml:space="preserve">3) соблюдения процедур и норм бюджетного законодательства Кыргызской Республики.</w:t>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Исполнительный орган Фонда разрабатывает методику проведения мониторинга и оценки, которая утверждается решением Наблюдательного совета Фонда.</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По представлению исполнительного органа Фонда Наблюдательный совет утверждает состав мониторинговой группы Фонда. В состав мониторинговой группы входят представители Наблюдательного совета Фонда, государственных органов, органов местного самоуправления, коммерческих и некоммерческих организаций.</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Члены мониторинговой группы вправе запросить документы, касающиеся использования средств Фонда.</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Результаты мониторинга оформляются в виде отчета, где отражаются результаты мониторинга и рекомендации по устранению отклонений.</w:t>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Отчет мониторинговой группы заслушивается на заседаниях Наблюдательного совета Фонда не менее двух раз в год. Отчет исполнительного органа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и развитию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Порядок распределения средств из республиканского бюджета в Фонды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Распределение средств из республиканского бюджета осуществляется по двум группам:</w:t>
      </w:r>
    </w:p>
    <w:p>
      <w:pPr>
        <w:spacing w:after="120"/>
        <w:ind w:firstLine="709"/>
        <w:jc w:val="both"/>
      </w:pPr>
      <w:r>
        <w:rPr>
          <w:rFonts w:ascii="Arial" w:cs="Arial" w:eastAsia="Arial" w:hAnsi="Arial"/>
          <w:sz w:val="24"/>
          <w:szCs w:val="24"/>
        </w:rPr>
        <w:t xml:space="preserve">1) фонды развития областей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ind w:firstLine="709"/>
        <w:jc w:val="both"/>
      </w:pPr>
      <w:r>
        <w:rPr>
          <w:rFonts w:ascii="Arial" w:cs="Arial" w:eastAsia="Arial" w:hAnsi="Arial"/>
          <w:sz w:val="24"/>
          <w:szCs w:val="24"/>
        </w:rPr>
        <w:t xml:space="preserve">2) фонды развития районов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20 000 000 (двадцать миллионов) сомов согласно таблице.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Размеры средств, выделяемых районным территориальным подразделениям из республиканского бюджета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6"/>
        <w:gridCol w:w="2574"/>
        <w:gridCol w:w="3508"/>
      </w:tblGrid>
      <w:tr>
        <w:tc>
          <w:tcPr>
            <w:tcW w:type="dxa" w:w="40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фонды развития регионов</w:t>
            </w:r>
          </w:p>
        </w:tc>
        <w:tc>
          <w:tcPr>
            <w:tcW w:type="dxa" w:w="3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регионов, где имеются города районного значения</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30 000 000
 (тридцать миллионов) сомов</w:t>
            </w:r>
          </w:p>
        </w:tc>
        <w:tc>
          <w:tcPr>
            <w:tcW w:type="dxa" w:w="3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5 400 000
 (пять миллионов четыреста тысяч) сомов</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20 000 000
 (двадцать миллионов) сомов</w:t>
            </w:r>
          </w:p>
        </w:tc>
        <w:tc>
          <w:tcPr>
            <w:tcW w:type="dxa" w:w="3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5 400 000
 (пять миллионов четыреста тысяч) сомов</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15 000 000
 (пятнадцать миллионов) сомов</w:t>
            </w:r>
          </w:p>
        </w:tc>
        <w:tc>
          <w:tcPr>
            <w:tcW w:type="dxa" w:w="3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5 400 000
 (пять миллионов четыреста тысяч) сомов</w:t>
            </w:r>
          </w:p>
        </w:tc>
      </w:tr>
    </w:tbl>
    <w:p>
      <w:pPr>
        <w:spacing w:after="120" w:before="120"/>
        <w:ind w:firstLine="709"/>
        <w:jc w:val="both"/>
      </w:pPr>
      <w:r>
        <w:rPr>
          <w:rFonts w:ascii="Arial" w:cs="Arial" w:eastAsia="Arial" w:hAnsi="Arial"/>
          <w:sz w:val="24"/>
          <w:szCs w:val="24"/>
        </w:rPr>
        <w:t xml:space="preserve">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Уполномоченный государственный орган по прогнозированию и исполнению бюджета ежемесячно утверждает кассовый план согласно заявкам исполнительных органов Фондов. Исполнительные органы Фондов открывают кассовый план согласно представленным заявкам и осуществляют финансирование проектов.</w:t>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Исполнительный орган Фонда производит своевременное и полное финансирование расходов за счет средств республиканского бюджета согласно утвержденной смете расходов.</w:t>
      </w:r>
    </w:p>
    <w:p>
      <w:pPr>
        <w:spacing w:after="120"/>
        <w:ind w:firstLine="709"/>
        <w:jc w:val="both"/>
      </w:pPr>
      <w:r>
        <w:rPr>
          <w:rFonts w:ascii="Arial" w:cs="Arial" w:eastAsia="Arial" w:hAnsi="Arial"/>
          <w:sz w:val="24"/>
          <w:szCs w:val="24"/>
        </w:rPr>
        <w:t xml:space="preserve">103.</w:t>
      </w: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Конфликт интересов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w:t>
      </w:r>
      <w:r>
        <w:rPr>
          <w:rFonts w:ascii="Arial" w:cs="Arial" w:eastAsia="Arial" w:hAnsi="Arial"/>
          <w:sz w:val="24"/>
          <w:szCs w:val="24"/>
        </w:rPr>
        <w:t xml:space="preserve">В случае если члены Наблюдательного совета Фонда, Исполнительного органа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4q1f9kjtj9p1f4xhcjv">
      <w:r>
        <w:rPr>
          <w:rFonts w:ascii="Arial" w:cs="Arial" w:eastAsia="Arial" w:hAnsi="Arial"/>
          <w:color w:val="132D3F"/>
          <w:sz w:val="16"/>
          <w:szCs w:val="16"/>
          <w:u w:val="single"/>
        </w:rPr>
        <w:t xml:space="preserve">dalil.kg/document/230042057</w:t>
      </w:r>
    </w:hyperlink>
  </w:p>
  <w:p>
    <w:pPr>
      <w:spacing w:after="0" w:before="40"/>
      <w:jc w:val="center"/>
    </w:pPr>
    <w:hyperlink w:history="1" r:id="rIdif-z23j0ebnsuwkeskr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yqgmfir_he02o-zsjqq" Type="http://schemas.openxmlformats.org/officeDocument/2006/relationships/hyperlink" Target="https://dalil.kg/document/230041881" TargetMode="External"/><Relationship Id="rId9lion6qsxajbshiy1nfn6" Type="http://schemas.openxmlformats.org/officeDocument/2006/relationships/hyperlink" Target="https://dalil.kg/document/2300149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4q1f9kjtj9p1f4xhcjv" Type="http://schemas.openxmlformats.org/officeDocument/2006/relationships/hyperlink" Target="https://dalil.kg/document/230042057" TargetMode="External"/><Relationship Id="rIdif-z23j0ebnsuwkeskr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2026-09-24T03:07:25.074Z</dcterms:created>
  <dcterms:modified xsi:type="dcterms:W3CDTF">2026-09-24T03:07:25.074Z</dcterms:modified>
</cp:coreProperties>
</file>

<file path=docProps/custom.xml><?xml version="1.0" encoding="utf-8"?>
<Properties xmlns="http://schemas.openxmlformats.org/officeDocument/2006/custom-properties" xmlns:vt="http://schemas.openxmlformats.org/officeDocument/2006/docPropsVTypes"/>
</file>