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105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вопросах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организационных и правовых основ государственной пограничной политики и государственного управления в сфере охраны Государственной границы Кыргызской Республики, руководствуясь статьями </w:t>
      </w:r>
      <w:hyperlink w:history="1" r:id="rIdp6emxpom9pqjtuyyog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nmm7hhcislk8eiz6r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_kbt_pzabvqvx5higu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oedks8os1rrwexwlq1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пограничной службе Кыргызской Республики согласно приложению 1;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Государственной пограничной службы Кыргызской Республики согласно </w:t>
      </w:r>
      <w:hyperlink w:history="1" r:id="rIdmlpgfjwhwl1jthapnr-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военнослужащим Государственной пограничной службы Кыргызской Республики (кроме военнослужащих срочной военной службы) для назначения пенсии и исчисления процентной надбавки за выслугу лет: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один месяц службы исчисляется за полтора месяца;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проходящим службу в воинских частях и подразделениях, расположенных на высоте свыше 1800 метров над уровнем моря, а также в воинских частях, учреждениях и подразделениях, постоянно дислоцируемых в Баткенской области, один месяц службы исчисляется за два месяца.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порядок применения оперативно-тактических и стратегических беспилотных летательных аппаратов Государственной пограничной службы Кыргызской Республики определяется отдельным решением Президента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 Установить, что реализация настоящего Указа осуществляется в пределах штатной численности и средств, предусмотренных в бюджете на соответствующий год</w:t>
      </w:r>
      <w:r>
        <w:rPr>
          <w:rFonts w:ascii="Arial" w:cs="Arial" w:eastAsia="Arial" w:hAnsi="Arial"/>
          <w:sz w:val="24"/>
          <w:szCs w:val="24"/>
        </w:rPr>
        <w:t xml:space="preserve">для Государственной пограничной службы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Государственная пограничная служба Кыргызской Республики является правопреемником Пограничной службы Государственного комитета национальной безопасности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пограничной службе Кыргызской Республики и Государственному комитету национальной безопасности Кыргызской Республики в двухмесячный срок в установленном порядке осуществить прием-передачу соответствующих штатов, документации, зданий, сооружений, материально-технических средств и иного имущества.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Республики: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в двухмесячный срок решить организационные, финансовые и иные вопросы, вытекающие из настоящего Указа;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Указом.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85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Настоящий Указ вступает в силу с 10 февраля 2026 года.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Государственной пограничной службы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6l5in5ffohlixmlx1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dalil.kg/document/230042410</w:t>
      </w:r>
    </w:hyperlink>
  </w:p>
  <w:p>
    <w:pPr>
      <w:spacing w:after="0" w:before="40"/>
      <w:jc w:val="center"/>
    </w:pPr>
    <w:hyperlink w:history="1" r:id="rIdiqmvdrgqxxxqdaffn8k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emxpom9pqjtuyyogvkm" Type="http://schemas.openxmlformats.org/officeDocument/2006/relationships/hyperlink" Target="https://dalil.kg/document/112213#st_66" TargetMode="External"/><Relationship Id="rIdidnmm7hhcislk8eiz6r_a" Type="http://schemas.openxmlformats.org/officeDocument/2006/relationships/hyperlink" Target="https://dalil.kg/document/112213#st_70" TargetMode="External"/><Relationship Id="rIdg_kbt_pzabvqvx5higuki" Type="http://schemas.openxmlformats.org/officeDocument/2006/relationships/hyperlink" Target="https://dalil.kg/document/112213#st_71" TargetMode="External"/><Relationship Id="rIdvoedks8os1rrwexwlq1mg" Type="http://schemas.openxmlformats.org/officeDocument/2006/relationships/hyperlink" Target="https://dalil.kg/document/230042419" TargetMode="External"/><Relationship Id="rIdmlpgfjwhwl1jthapnr-ls" Type="http://schemas.openxmlformats.org/officeDocument/2006/relationships/hyperlink" Target="https://dalil.kg/document/230042410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6l5in5ffohlixmlx12x" Type="http://schemas.openxmlformats.org/officeDocument/2006/relationships/hyperlink" Target="https://dalil.kg/document/230042410" TargetMode="External"/><Relationship Id="rIdiqmvdrgqxxxqdaffn8k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2026-09-26T19:53:24.880Z</dcterms:created>
  <dcterms:modified xsi:type="dcterms:W3CDTF">2026-09-26T19:53:24.880Z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