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15 мая 2025 года №46/5-29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</w:t>
      </w:r>
      <w:r>
        <w:rPr>
          <w:rFonts w:ascii="Arial" w:cs="Arial" w:eastAsia="Arial" w:hAnsi="Arial"/>
          <w:sz w:val="24"/>
          <w:szCs w:val="24"/>
        </w:rPr>
        <w:t xml:space="preserve">установлении</w:t>
      </w:r>
      <w:r>
        <w:rPr>
          <w:rFonts w:ascii="Arial" w:cs="Arial" w:eastAsia="Arial" w:hAnsi="Arial"/>
          <w:sz w:val="24"/>
          <w:szCs w:val="24"/>
        </w:rPr>
        <w:t xml:space="preserve"> тариф</w:t>
      </w:r>
      <w:r>
        <w:rPr>
          <w:rFonts w:ascii="Arial" w:cs="Arial" w:eastAsia="Arial" w:hAnsi="Arial"/>
          <w:sz w:val="24"/>
          <w:szCs w:val="24"/>
        </w:rPr>
        <w:t xml:space="preserve">а на</w:t>
      </w:r>
      <w:r>
        <w:rPr>
          <w:rFonts w:ascii="Arial" w:cs="Arial" w:eastAsia="Arial" w:hAnsi="Arial"/>
          <w:sz w:val="24"/>
          <w:szCs w:val="24"/>
        </w:rPr>
        <w:t xml:space="preserve">поливную воду в селе Подгорное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vdnq8i9a4rgxdcjugb6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заслушав и обсудив информацию директора муниципального предприятия “Орловский водоканал” Тентиева Т.А. , Орловский городской кенеш </w:t>
      </w:r>
    </w:p>
    <w:p>
      <w:pPr>
        <w:spacing w:after="20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тариф на поливную воду в селе Подгорное города Орловка в размере 200 (двести) сом за один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v8n4ynethwu1s8a6l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dalil.kg/document/230042416</w:t>
      </w:r>
    </w:hyperlink>
  </w:p>
  <w:p>
    <w:pPr>
      <w:spacing w:after="0" w:before="40"/>
      <w:jc w:val="center"/>
    </w:pPr>
    <w:hyperlink w:history="1" r:id="rIdjbuibafgnz7v4hw7gfx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nq8i9a4rgxdcjugb64t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v8n4ynethwu1s8a6ly6" Type="http://schemas.openxmlformats.org/officeDocument/2006/relationships/hyperlink" Target="https://dalil.kg/document/230042416" TargetMode="External"/><Relationship Id="rIdjbuibafgnz7v4hw7gfx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2026-09-27T12:50:36.658Z</dcterms:created>
  <dcterms:modified xsi:type="dcterms:W3CDTF">2026-09-27T12:50:36.658Z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