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15 мая 2025 года №40/5-29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Генеральный план города Орловка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п.2 ст.</w:t>
      </w:r>
      <w:hyperlink w:history="1" r:id="rIdpheb6szfvywahlc0e92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mnfjakw0mi5njezveve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учитывая решение постоянной комиссии по земельным вопросам Орловского городского кенеша, </w:t>
      </w:r>
      <w:r>
        <w:rPr>
          <w:rFonts w:ascii="Arial" w:cs="Arial" w:eastAsia="Arial" w:hAnsi="Arial"/>
          <w:sz w:val="24"/>
          <w:szCs w:val="24"/>
        </w:rPr>
        <w:t xml:space="preserve">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внесение изменений в Генеральный план города Орловка в связи с необходимостью сокращения красной линии улиц мэрии города Орловка, с изменением целевого назначения его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мэра г.Орловка </w:t>
      </w:r>
      <w:r>
        <w:rPr>
          <w:rFonts w:ascii="Arial" w:cs="Arial" w:eastAsia="Arial" w:hAnsi="Arial"/>
          <w:sz w:val="24"/>
          <w:szCs w:val="24"/>
        </w:rPr>
        <w:t xml:space="preserve">А.А.Койшыбаева</w:t>
      </w:r>
      <w:r>
        <w:rPr>
          <w:rFonts w:ascii="Arial" w:cs="Arial" w:eastAsia="Arial" w:hAnsi="Arial"/>
          <w:sz w:val="24"/>
          <w:szCs w:val="24"/>
        </w:rPr>
        <w:t xml:space="preserve">и председателя постоянной комиссии по земельным вопросам Н.Д.Токтакунова.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f5ez3nhgkmwbb7m7d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dalil.kg/document/230042436</w:t>
      </w:r>
    </w:hyperlink>
  </w:p>
  <w:p>
    <w:pPr>
      <w:spacing w:after="0" w:before="40"/>
      <w:jc w:val="center"/>
    </w:pPr>
    <w:hyperlink w:history="1" r:id="rIdqrvfuyq7vivnquro2bp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eb6szfvywahlc0e92t9" Type="http://schemas.openxmlformats.org/officeDocument/2006/relationships/hyperlink" Target="https://dalil.kg/document/8#st_18" TargetMode="External"/><Relationship Id="rIdmnfjakw0mi5njezvevekg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f5ez3nhgkmwbb7m7dxh" Type="http://schemas.openxmlformats.org/officeDocument/2006/relationships/hyperlink" Target="https://dalil.kg/document/230042436" TargetMode="External"/><Relationship Id="rIdqrvfuyq7vivnquro2bp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2026-09-27T12:47:47.778Z</dcterms:created>
  <dcterms:modified xsi:type="dcterms:W3CDTF">2026-09-27T12:47:47.778Z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