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марта 2026 года № 2026-П-12/15-3-(НПА)</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xgs_rw6r8xaircpji5gwk">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8uqrot3qo-kjdxjxpxcko">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4ql9c4w3_l2xjvzidfxqq">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bsss2kmbx6qngpap1y__y">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hyperlink w:history="1" r:id="rIdevk4rmuyqgntsfb368axb">
        <w:r>
          <w:rPr>
            <w:rFonts w:ascii="Arial" w:cs="Arial" w:eastAsia="Arial" w:hAnsi="Arial"/>
            <w:color w:val="1D4ED8"/>
            <w:sz w:val="24"/>
            <w:szCs w:val="24"/>
            <w:u w:val="single"/>
          </w:rPr>
          <w:t xml:space="preserve">от 30 июня 2010 года № 52/4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 утверждении "</w:t>
      </w:r>
      <w:hyperlink w:history="1" r:id="rId8mxn687d79mcmcaym3vlh">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w:t>
      </w:r>
      <w:hyperlink w:history="1" r:id="rIdcxa0al0p2yrln-zphnpuq">
        <w:r>
          <w:rPr>
            <w:rFonts w:ascii="Arial" w:cs="Arial" w:eastAsia="Arial" w:hAnsi="Arial"/>
            <w:color w:val="1D4ED8"/>
            <w:sz w:val="24"/>
            <w:szCs w:val="24"/>
            <w:u w:val="single"/>
          </w:rPr>
          <w:t xml:space="preserve">от 4 июля 2012 года № 28/7</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Юридическому управлению: </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 </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настоящего постановления довести его до сведения Объединения юридических лиц "Союз банков Кыргызстана", коммерческих банков, Объединения юридических лиц "Ассоциация Микрофинансовых Организаций", Объединения юридических лиц "Национальная ассоциация кредитных союзов и кооперативов Кыргызстана", Открытого акционерного общества "Финансовая компания кредитных союзов", микрофинансовых организаций и кредитных союзов. </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со дня принятия настоящего постановления довести его до сведения структурных подразделений, областных управлений и Представительства Национального банка Кыргызской Республики в Баткенской области. </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Республикиот 4 марта 2026 года № 2026-П-12/15-3-(НПА)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w:t>
      </w:r>
    </w:p>
    <w:p>
      <w:pPr>
        <w:spacing w:after="240" w:before="200"/>
        <w:jc w:val="center"/>
      </w:pPr>
      <w:r>
        <w:rPr>
          <w:rFonts w:ascii="Arial" w:cs="Arial" w:eastAsia="Arial" w:hAnsi="Arial"/>
          <w:b/>
          <w:bCs/>
          <w:sz w:val="32"/>
          <w:szCs w:val="32"/>
        </w:rPr>
        <w:t xml:space="preserve">в некоторые нормативные правовые акты Национального банка Кыргызской Республики </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_k8ctzxvj0pij4360sx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следующее изменение: </w:t>
      </w:r>
    </w:p>
    <w:p>
      <w:pPr>
        <w:spacing w:after="120"/>
        <w:ind w:firstLine="567"/>
        <w:jc w:val="both"/>
      </w:pPr>
      <w:r>
        <w:rPr>
          <w:rFonts w:ascii="Arial" w:cs="Arial" w:eastAsia="Arial" w:hAnsi="Arial"/>
          <w:sz w:val="24"/>
          <w:szCs w:val="24"/>
        </w:rPr>
        <w:t xml:space="preserve">в </w:t>
      </w:r>
      <w:hyperlink w:history="1" r:id="rIdefv93p2gjh0btitxskby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qigszlgvfntzfuaz0iu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3-2 изложить в следующей редакции: </w:t>
      </w:r>
    </w:p>
    <w:p>
      <w:pPr>
        <w:spacing w:after="120"/>
        <w:ind w:firstLine="567"/>
        <w:jc w:val="both"/>
      </w:pPr>
      <w:r>
        <w:rPr>
          <w:rFonts w:ascii="Arial" w:cs="Arial" w:eastAsia="Arial" w:hAnsi="Arial"/>
          <w:sz w:val="24"/>
          <w:szCs w:val="24"/>
        </w:rPr>
        <w:t xml:space="preserve">"3-2. Бланковые кредиты - это кредиты, обеспечением по которым не являются недвижимое имущество, движимое имущество, гарантии, поручительство, имущественные права, право требования и иные инструменты, предусмотренные законодательством о залоге и нормативными правовыми актами Национального банка в качестве обеспечения по кредитам, за исключением овердрафтов по платежным картам в рамках зарплатных проектов, овердрафтов по платежным картам, выданным пенсионерам. </w:t>
      </w:r>
    </w:p>
    <w:p>
      <w:pPr>
        <w:spacing w:after="120"/>
        <w:ind w:firstLine="567"/>
        <w:jc w:val="both"/>
      </w:pPr>
      <w:r>
        <w:rPr>
          <w:rFonts w:ascii="Arial" w:cs="Arial" w:eastAsia="Arial" w:hAnsi="Arial"/>
          <w:sz w:val="24"/>
          <w:szCs w:val="24"/>
        </w:rPr>
        <w:t xml:space="preserve">При этом имущественные права заемщика, а также право требования банка на будущие поступления денежных средств, товары, запасы, дебиторскую задолженность или иные будущие активы заемщика, за исключением прав, носящих личный характер, в том числе права на получение заработной платы, пенсии или права на получение личных услуг, признаются обеспечением по кредитам при условии подтверждения таких прав действующими договорами или иными документами. При отсутствии подтверждения такие кредиты считаются бланковыми кредитами. </w:t>
      </w:r>
    </w:p>
    <w:p>
      <w:pPr>
        <w:spacing w:after="120"/>
        <w:ind w:firstLine="567"/>
        <w:jc w:val="both"/>
      </w:pPr>
      <w:r>
        <w:rPr>
          <w:rFonts w:ascii="Arial" w:cs="Arial" w:eastAsia="Arial" w:hAnsi="Arial"/>
          <w:sz w:val="24"/>
          <w:szCs w:val="24"/>
        </w:rPr>
        <w:t xml:space="preserve">Бланковые кредиты выдаются исключительно кредитоспособному заемщику на основании оценки уровня его доходов/анализа платежеспособности в соответствии с нормативными правовыми актами Национального банка. </w:t>
      </w:r>
    </w:p>
    <w:p>
      <w:pPr>
        <w:spacing w:after="120"/>
        <w:ind w:firstLine="567"/>
        <w:jc w:val="both"/>
      </w:pPr>
      <w:r>
        <w:rPr>
          <w:rFonts w:ascii="Arial" w:cs="Arial" w:eastAsia="Arial" w:hAnsi="Arial"/>
          <w:sz w:val="24"/>
          <w:szCs w:val="24"/>
        </w:rPr>
        <w:t xml:space="preserve">Примечание: Изменения, внесенные постановлением Правления Национального банка № 2026-П-12/15-3-(НПА) от 4 марта 2026 года, действуют для кредитов, выданных после даты вступления в силу указанного постановления.".</w:t>
      </w:r>
    </w:p>
    <w:p>
      <w:pPr>
        <w:spacing w:after="120"/>
        <w:ind w:firstLine="567"/>
        <w:jc w:val="both"/>
      </w:pPr>
      <w:r>
        <w:rPr>
          <w:rFonts w:ascii="Arial" w:cs="Arial" w:eastAsia="Arial" w:hAnsi="Arial"/>
          <w:sz w:val="24"/>
          <w:szCs w:val="24"/>
        </w:rPr>
        <w:t xml:space="preserve">2. Внести в </w:t>
      </w:r>
      <w:hyperlink w:history="1" r:id="rIddv3ew8ngymfo3ceiq8z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avq7xg-wqcm-w0cvtw-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следующее изменение: </w:t>
      </w:r>
    </w:p>
    <w:p>
      <w:pPr>
        <w:spacing w:after="120"/>
        <w:ind w:firstLine="567"/>
        <w:jc w:val="both"/>
      </w:pPr>
      <w:r>
        <w:rPr>
          <w:rFonts w:ascii="Arial" w:cs="Arial" w:eastAsia="Arial" w:hAnsi="Arial"/>
          <w:sz w:val="24"/>
          <w:szCs w:val="24"/>
        </w:rPr>
        <w:t xml:space="preserve">в </w:t>
      </w:r>
      <w:hyperlink w:history="1" r:id="rIdxjtgt_hj2aqdmels-jrhq">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w:history="1" r:id="rIdejnbszsu0lhr3v7yj4m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6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предметом залога не могут быть права, носящие личный характер, в том числе право на получение заработной платы, пенсии или право на получение личных услуг.".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hntrct7gn1xzzfezogka">
      <w:r>
        <w:rPr>
          <w:rFonts w:ascii="Arial" w:cs="Arial" w:eastAsia="Arial" w:hAnsi="Arial"/>
          <w:color w:val="132D3F"/>
          <w:sz w:val="16"/>
          <w:szCs w:val="16"/>
          <w:u w:val="single"/>
        </w:rPr>
        <w:t xml:space="preserve">dalil.kg/document/230042750</w:t>
      </w:r>
    </w:hyperlink>
  </w:p>
  <w:p>
    <w:pPr>
      <w:spacing w:after="0" w:before="40"/>
      <w:jc w:val="center"/>
    </w:pPr>
    <w:hyperlink w:history="1" r:id="rIdojh2hdtxwil-3nzz8ll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s_rw6r8xaircpji5gwk" Type="http://schemas.openxmlformats.org/officeDocument/2006/relationships/hyperlink" Target="https://dalil.kg/document/112424#st_5" TargetMode="External"/><Relationship Id="rId8uqrot3qo-kjdxjxpxcko" Type="http://schemas.openxmlformats.org/officeDocument/2006/relationships/hyperlink" Target="https://dalil.kg/document/112424#st_9" TargetMode="External"/><Relationship Id="rId4ql9c4w3_l2xjvzidfxqq" Type="http://schemas.openxmlformats.org/officeDocument/2006/relationships/hyperlink" Target="https://dalil.kg/document/112424#st_64" TargetMode="External"/><Relationship Id="rIdbsss2kmbx6qngpap1y__y" Type="http://schemas.openxmlformats.org/officeDocument/2006/relationships/hyperlink" Target="https://dalil.kg/document/230042750#pr" TargetMode="External"/><Relationship Id="rIdevk4rmuyqgntsfb368axb" Type="http://schemas.openxmlformats.org/officeDocument/2006/relationships/hyperlink" Target="https://dalil.kg/document/302353" TargetMode="External"/><Relationship Id="rId8mxn687d79mcmcaym3vlh" Type="http://schemas.openxmlformats.org/officeDocument/2006/relationships/hyperlink" Target="https://dalil.kg/document/302508" TargetMode="External"/><Relationship Id="rIdcxa0al0p2yrln-zphnpuq" Type="http://schemas.openxmlformats.org/officeDocument/2006/relationships/hyperlink" Target="https://dalil.kg/document/302507" TargetMode="External"/><Relationship Id="rId_k8ctzxvj0pij4360sxja" Type="http://schemas.openxmlformats.org/officeDocument/2006/relationships/hyperlink" Target="https://dalil.kg/document/302353" TargetMode="External"/><Relationship Id="rIdefv93p2gjh0btitxskbyi" Type="http://schemas.openxmlformats.org/officeDocument/2006/relationships/hyperlink" Target="https://dalil.kg/document/302354" TargetMode="External"/><Relationship Id="rIdqigszlgvfntzfuaz0iuyj" Type="http://schemas.openxmlformats.org/officeDocument/2006/relationships/hyperlink" Target="https://dalil.kg/document/302353" TargetMode="External"/><Relationship Id="rIddv3ew8ngymfo3ceiq8z9h" Type="http://schemas.openxmlformats.org/officeDocument/2006/relationships/hyperlink" Target="https://dalil.kg/document/302507" TargetMode="External"/><Relationship Id="rId4avq7xg-wqcm-w0cvtw-z" Type="http://schemas.openxmlformats.org/officeDocument/2006/relationships/hyperlink" Target="https://dalil.kg/document/302508" TargetMode="External"/><Relationship Id="rIdxjtgt_hj2aqdmels-jrhq" Type="http://schemas.openxmlformats.org/officeDocument/2006/relationships/hyperlink" Target="https://dalil.kg/document/302508" TargetMode="External"/><Relationship Id="rIdejnbszsu0lhr3v7yj4msk" Type="http://schemas.openxmlformats.org/officeDocument/2006/relationships/hyperlink" Target="https://dalil.kg/document/302507"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hntrct7gn1xzzfezogka" Type="http://schemas.openxmlformats.org/officeDocument/2006/relationships/hyperlink" Target="https://dalil.kg/document/230042750" TargetMode="External"/><Relationship Id="rIdojh2hdtxwil-3nzz8ll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2026-09-26T20:21:18.988Z</dcterms:created>
  <dcterms:modified xsi:type="dcterms:W3CDTF">2026-09-26T20:21:18.988Z</dcterms:modified>
</cp:coreProperties>
</file>

<file path=docProps/custom.xml><?xml version="1.0" encoding="utf-8"?>
<Properties xmlns="http://schemas.openxmlformats.org/officeDocument/2006/custom-properties" xmlns:vt="http://schemas.openxmlformats.org/officeDocument/2006/docPropsVTypes"/>
</file>