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24 февраля 2026 года № 32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передаче вакантного мандата депутата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наличием вакантного мандата депутата Жогорку Кенеша Кыргызской Республики, руководствуясь частью 11 </w:t>
      </w:r>
      <w:r>
        <w:rPr>
          <w:rFonts w:ascii="Arial" w:cs="Arial" w:eastAsia="Arial" w:hAnsi="Arial"/>
          <w:sz w:val="24"/>
          <w:szCs w:val="24"/>
        </w:rPr>
        <w:t xml:space="preserve">статьи 21</w:t>
      </w:r>
      <w:r>
        <w:rPr>
          <w:rFonts w:ascii="Arial" w:cs="Arial" w:eastAsia="Arial" w:hAnsi="Arial"/>
          <w:sz w:val="24"/>
          <w:szCs w:val="24"/>
        </w:rPr>
        <w:t xml:space="preserve">, частями 4, 6 </w:t>
      </w:r>
      <w:r>
        <w:rPr>
          <w:rFonts w:ascii="Arial" w:cs="Arial" w:eastAsia="Arial" w:hAnsi="Arial"/>
          <w:sz w:val="24"/>
          <w:szCs w:val="24"/>
        </w:rPr>
        <w:t xml:space="preserve">статьи 65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Дуйшенбиева Райимберди Сейдакматовича избранным депутатом Жогорку Кенеша Кыргызской Республики по многомандатному избирательному округу № 14.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Дуйшенбиева Райимберди Сейдакматовича депутатом Жогорку Кенеша Кыргызской Республики по многомандатному избирательному округу № 14.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Дуйшенбиеву Райимберди Сейдакматовичу удостоверение и нагрудный знак установленного образца.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государственной официальной газете Кыргызской Республики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в Жогорку Кенеш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Б.А.Конурова.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mgd3arsnokzpr4igauf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dalil.kg/document/230042801</w:t>
      </w:r>
    </w:hyperlink>
  </w:p>
  <w:p>
    <w:pPr>
      <w:spacing w:after="0" w:before="40"/>
      <w:jc w:val="center"/>
    </w:pPr>
    <w:hyperlink w:history="1" r:id="rId0cyv2ffwiu784dyw9vk0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mgd3arsnokzpr4igauf6" Type="http://schemas.openxmlformats.org/officeDocument/2006/relationships/hyperlink" Target="https://dalil.kg/document/230042801" TargetMode="External"/><Relationship Id="rId0cyv2ffwiu784dyw9vk0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2026-09-26T22:25:08.981Z</dcterms:created>
  <dcterms:modified xsi:type="dcterms:W3CDTF">2026-09-26T22:25:08.981Z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