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“24” декабря 2024 года № 4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перераспределении денежных средств бюджета </w:t>
      </w:r>
      <w:r>
        <w:rPr>
          <w:rFonts w:ascii="Arial" w:cs="Arial" w:eastAsia="Arial" w:hAnsi="Arial"/>
          <w:sz w:val="24"/>
          <w:szCs w:val="24"/>
        </w:rPr>
        <w:t xml:space="preserve">айыл окмоту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_qsmfqdbmq_1szcefl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 123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заслушав и обсудив заключение бюджетной комиссии о перераспределении неиспользованных денежных средств, предусмотренных в плане бюджета на 2024 год, на другие необходимые направления,</w:t>
      </w:r>
      <w:r>
        <w:rPr>
          <w:rFonts w:ascii="Arial" w:cs="Arial" w:eastAsia="Arial" w:hAnsi="Arial"/>
          <w:sz w:val="24"/>
          <w:szCs w:val="24"/>
        </w:rPr>
        <w:t xml:space="preserve"> 3-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чередная сессия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-созыва </w:t>
      </w:r>
      <w:r>
        <w:rPr>
          <w:rFonts w:ascii="Arial" w:cs="Arial" w:eastAsia="Arial" w:hAnsi="Arial"/>
          <w:sz w:val="24"/>
          <w:szCs w:val="24"/>
        </w:rPr>
        <w:t xml:space="preserve">Кураминского айылного кенеша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Уменьшить по разделу 70111 «Аппарат» по элементу 2215 на 300 тыс. сомов и увеличить по разделу 70629 «ЖКХ» по элементу 2215 на 300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70812 «Спорт» по элементу 2215 на 230 тыс. сомов, увеличить по элементу 2221 на 170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70629 «ЖКХ» по элементу 2214 на 60 тыс. сомов и по элементу 3111 на 80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по разделу 71093 «Социальная защита» по элементу 2721 на 200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70921 «Образование» по элементу 3111 на 800 тыс. сомов и увеличить по разделу 70629 «ЖКХ» по элементу 3112 на 800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по разделу 70921 «Образование» по элементу 2222 на 200 тыс. сомов и увеличить элемент 2221 на 200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Доходную часть бюджета по статье налогов на основе патента уменьшить на 250 тыс. сомов, соответственно уменьшив по расходной смете раздела 70629 «ЖКХ» по элементу 2214.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и осуществление перераспределения денежных средств поручить начальнику ФЭ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</w:t>
      </w:r>
      <w:r>
        <w:rPr>
          <w:rFonts w:ascii="Arial" w:cs="Arial" w:eastAsia="Arial" w:hAnsi="Arial"/>
          <w:sz w:val="24"/>
          <w:szCs w:val="24"/>
        </w:rPr>
        <w:t xml:space="preserve">Шаршекееве </w:t>
      </w:r>
      <w:r>
        <w:rPr>
          <w:rFonts w:ascii="Arial" w:cs="Arial" w:eastAsia="Arial" w:hAnsi="Arial"/>
          <w:sz w:val="24"/>
          <w:szCs w:val="24"/>
        </w:rPr>
        <w:t xml:space="preserve">Ж.М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главу айыл окмоту</w:t>
      </w:r>
      <w:r>
        <w:rPr>
          <w:rFonts w:ascii="Arial" w:cs="Arial" w:eastAsia="Arial" w:hAnsi="Arial"/>
          <w:sz w:val="24"/>
          <w:szCs w:val="24"/>
        </w:rPr>
        <w:t xml:space="preserve"> Курама </w:t>
      </w:r>
      <w:r>
        <w:rPr>
          <w:rFonts w:ascii="Arial" w:cs="Arial" w:eastAsia="Arial" w:hAnsi="Arial"/>
          <w:sz w:val="24"/>
          <w:szCs w:val="24"/>
        </w:rPr>
        <w:t xml:space="preserve">Карымбаеву</w:t>
      </w:r>
      <w:r>
        <w:rPr>
          <w:rFonts w:ascii="Arial" w:cs="Arial" w:eastAsia="Arial" w:hAnsi="Arial"/>
          <w:sz w:val="24"/>
          <w:szCs w:val="24"/>
        </w:rPr>
        <w:t xml:space="preserve"> У.Т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kywumykcyt7aqvsv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dalil.kg/document/230042863</w:t>
      </w:r>
    </w:hyperlink>
  </w:p>
  <w:p>
    <w:pPr>
      <w:spacing w:after="0" w:before="40"/>
      <w:jc w:val="center"/>
    </w:pPr>
    <w:hyperlink w:history="1" r:id="rIdrmnsceyw1jjlu9nyhnb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qsmfqdbmq_1szceflgp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kywumykcyt7aqvsvzje" Type="http://schemas.openxmlformats.org/officeDocument/2006/relationships/hyperlink" Target="https://dalil.kg/document/230042863" TargetMode="External"/><Relationship Id="rIdrmnsceyw1jjlu9nyhnb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2026-09-27T16:39:14.414Z</dcterms:created>
  <dcterms:modified xsi:type="dcterms:W3CDTF">2026-09-27T16:39:14.414Z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