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марта 2026 года № 165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Кабинета Министров Кыргызской Республики в целях приведения в соответствие с Указом Президента Кыргызской Республики 
 «О мерах по оптимизации миграционных процессов в Кыргызской Республике»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 от 19 сентября 2024 года № 268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миграционных процессов в Кыргызской Республике, в соответствии со статьями </w:t>
      </w:r>
      <w:hyperlink w:history="1" r:id="rId0jfjyioynntgg-uogbcs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wsjb3rrhi-ynawoswrc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c6chkh2hdscne8-myofi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Министерстве иностранных дел Кыргызской Республики» </w:t>
      </w:r>
      <w:r>
        <w:rPr>
          <w:rFonts w:ascii="Arial" w:cs="Arial" w:eastAsia="Arial" w:hAnsi="Arial"/>
          <w:sz w:val="24"/>
          <w:szCs w:val="24"/>
        </w:rPr>
        <w:t xml:space="preserve">от 20 февраля 2012 года № 113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2imkwsciuxgp7hgyf2nc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иностранных дел Кыргызской Республики, утвержденном вышеуказанным </w:t>
      </w:r>
      <w:hyperlink w:history="1" r:id="rId3outneuunzcwyekawuk5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пункт 7 дополнить подпунктом 6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«6) регулирование процессов привлечения иностранной рабочей силы с учетом интересов внутреннего рынка труда Кыргызской Республики.»;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подпункт 1 пункта 8 дополнить абзацами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«– вн</w:t>
      </w:r>
      <w:r>
        <w:rPr>
          <w:rFonts w:ascii="Arial" w:cs="Arial" w:eastAsia="Arial" w:hAnsi="Arial"/>
          <w:sz w:val="24"/>
          <w:szCs w:val="24"/>
        </w:rPr>
        <w:t xml:space="preserve">е</w:t>
      </w:r>
      <w:r>
        <w:rPr>
          <w:rFonts w:ascii="Arial" w:cs="Arial" w:eastAsia="Arial" w:hAnsi="Arial"/>
          <w:sz w:val="24"/>
          <w:szCs w:val="24"/>
        </w:rPr>
        <w:t xml:space="preserve">с</w:t>
      </w:r>
      <w:r>
        <w:rPr>
          <w:rFonts w:ascii="Arial" w:cs="Arial" w:eastAsia="Arial" w:hAnsi="Arial"/>
          <w:sz w:val="24"/>
          <w:szCs w:val="24"/>
        </w:rPr>
        <w:t xml:space="preserve">ение</w:t>
      </w:r>
      <w:r>
        <w:rPr>
          <w:rFonts w:ascii="Arial" w:cs="Arial" w:eastAsia="Arial" w:hAnsi="Arial"/>
          <w:sz w:val="24"/>
          <w:szCs w:val="24"/>
        </w:rPr>
        <w:t xml:space="preserve"> на рассмотрение Кабинета Министров Кыргызской Республики предложения о формировании ежегодно устанавливаемой квоты на привлечение и использование иностранной рабочей силы на территории Кыргызской Республики и распределении (перераспределении) квоты на привлечение и использование иностранной рабочей силы;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веде</w:t>
      </w:r>
      <w:r>
        <w:rPr>
          <w:rFonts w:ascii="Arial" w:cs="Arial" w:eastAsia="Arial" w:hAnsi="Arial"/>
          <w:sz w:val="24"/>
          <w:szCs w:val="24"/>
        </w:rPr>
        <w:t xml:space="preserve">ние</w:t>
      </w:r>
      <w:r>
        <w:rPr>
          <w:rFonts w:ascii="Arial" w:cs="Arial" w:eastAsia="Arial" w:hAnsi="Arial"/>
          <w:sz w:val="24"/>
          <w:szCs w:val="24"/>
        </w:rPr>
        <w:t xml:space="preserve"> учет</w:t>
      </w:r>
      <w:r>
        <w:rPr>
          <w:rFonts w:ascii="Arial" w:cs="Arial" w:eastAsia="Arial" w:hAnsi="Arial"/>
          <w:sz w:val="24"/>
          <w:szCs w:val="24"/>
        </w:rPr>
        <w:t xml:space="preserve">а</w:t>
      </w:r>
      <w:r>
        <w:rPr>
          <w:rFonts w:ascii="Arial" w:cs="Arial" w:eastAsia="Arial" w:hAnsi="Arial"/>
          <w:sz w:val="24"/>
          <w:szCs w:val="24"/>
        </w:rPr>
        <w:t xml:space="preserve"> иностранных граждан и лиц без гражданства, имеющих разрешение на осуществление трудовой деятельности на территории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;</w:t>
      </w:r>
      <w:r>
        <w:rPr>
          <w:rFonts w:ascii="Arial" w:cs="Arial" w:eastAsia="Arial" w:hAnsi="Arial"/>
          <w:sz w:val="24"/>
          <w:szCs w:val="24"/>
        </w:rPr>
        <w:t xml:space="preserve">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подпункт 4 пункта 8 дополнить абзацем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«– пров</w:t>
      </w:r>
      <w:r>
        <w:rPr>
          <w:rFonts w:ascii="Arial" w:cs="Arial" w:eastAsia="Arial" w:hAnsi="Arial"/>
          <w:sz w:val="24"/>
          <w:szCs w:val="24"/>
        </w:rPr>
        <w:t xml:space="preserve">едение</w:t>
      </w:r>
      <w:r>
        <w:rPr>
          <w:rFonts w:ascii="Arial" w:cs="Arial" w:eastAsia="Arial" w:hAnsi="Arial"/>
          <w:sz w:val="24"/>
          <w:szCs w:val="24"/>
        </w:rPr>
        <w:t xml:space="preserve"> анализ</w:t>
      </w:r>
      <w:r>
        <w:rPr>
          <w:rFonts w:ascii="Arial" w:cs="Arial" w:eastAsia="Arial" w:hAnsi="Arial"/>
          <w:sz w:val="24"/>
          <w:szCs w:val="24"/>
        </w:rPr>
        <w:t xml:space="preserve">а</w:t>
      </w:r>
      <w:r>
        <w:rPr>
          <w:rFonts w:ascii="Arial" w:cs="Arial" w:eastAsia="Arial" w:hAnsi="Arial"/>
          <w:sz w:val="24"/>
          <w:szCs w:val="24"/>
        </w:rPr>
        <w:t xml:space="preserve">, прогноз</w:t>
      </w:r>
      <w:r>
        <w:rPr>
          <w:rFonts w:ascii="Arial" w:cs="Arial" w:eastAsia="Arial" w:hAnsi="Arial"/>
          <w:sz w:val="24"/>
          <w:szCs w:val="24"/>
        </w:rPr>
        <w:t xml:space="preserve">а</w:t>
      </w:r>
      <w:r>
        <w:rPr>
          <w:rFonts w:ascii="Arial" w:cs="Arial" w:eastAsia="Arial" w:hAnsi="Arial"/>
          <w:sz w:val="24"/>
          <w:szCs w:val="24"/>
        </w:rPr>
        <w:t xml:space="preserve">и мониторинг</w:t>
      </w:r>
      <w:r>
        <w:rPr>
          <w:rFonts w:ascii="Arial" w:cs="Arial" w:eastAsia="Arial" w:hAnsi="Arial"/>
          <w:sz w:val="24"/>
          <w:szCs w:val="24"/>
        </w:rPr>
        <w:t xml:space="preserve">а</w:t>
      </w:r>
      <w:r>
        <w:rPr>
          <w:rFonts w:ascii="Arial" w:cs="Arial" w:eastAsia="Arial" w:hAnsi="Arial"/>
          <w:sz w:val="24"/>
          <w:szCs w:val="24"/>
        </w:rPr>
        <w:t xml:space="preserve"> пребывания иностранных граждан и лиц без гражданства, связанных с осуществлением трудовой деятельности на территории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;</w:t>
      </w:r>
      <w:r>
        <w:rPr>
          <w:rFonts w:ascii="Arial" w:cs="Arial" w:eastAsia="Arial" w:hAnsi="Arial"/>
          <w:sz w:val="24"/>
          <w:szCs w:val="24"/>
        </w:rPr>
        <w:t xml:space="preserve">».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 </w:t>
      </w: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dnb6-rtraz7s1y7ryevl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вопросах Министерства труда, социального обеспечения и миграции Кыргызской Республики» </w:t>
      </w:r>
      <w:r>
        <w:rPr>
          <w:rFonts w:ascii="Arial" w:cs="Arial" w:eastAsia="Arial" w:hAnsi="Arial"/>
          <w:sz w:val="24"/>
          <w:szCs w:val="24"/>
        </w:rPr>
        <w:t xml:space="preserve">от 15 ноября 2021 года № 252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oq22mcmai4xvrhvy7nit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труда, социального обеспечения и миграции Кыргызской Республики, утвержденном вышеуказанным </w:t>
      </w:r>
      <w:hyperlink w:history="1" r:id="rId47_nspgglwk_y0mviy2p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пункте 6: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абзац тринадцатый признать утратившим силу;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пункте 7: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1: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абзац четырнадцатый признать утратившим силу;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абзаце восемнадцатом слова «на привлечение и использование иностранной рабочей силы на территории Кыргызской Республики,» исключить;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абзаце двадцать втором слова «и иностранных граждан, имеющих разрешение на работу в Кыргызской Республике» исключить;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3 абзац тринадцатый признать утратившим силу.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13 марта 2026 года № 19 (3779)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0jfjyioynntgg-uogbcsx" Type="http://schemas.openxmlformats.org/officeDocument/2006/relationships/hyperlink" Target="http://kodeks.duckdns.org/document/112301#st_13" TargetMode="External"/><Relationship Id="rIdawsjb3rrhi-ynawoswrc5" Type="http://schemas.openxmlformats.org/officeDocument/2006/relationships/hyperlink" Target="http://kodeks.duckdns.org/document/112301#st_17" TargetMode="External"/><Relationship Id="rIdc6chkh2hdscne8-myofic" Type="http://schemas.openxmlformats.org/officeDocument/2006/relationships/hyperlink" Target="http://kodeks.duckdns.org/document/93475" TargetMode="External"/><Relationship Id="rId2imkwsciuxgp7hgyf2nch" Type="http://schemas.openxmlformats.org/officeDocument/2006/relationships/hyperlink" Target="http://kodeks.duckdns.org/document/93794" TargetMode="External"/><Relationship Id="rId3outneuunzcwyekawuk5d" Type="http://schemas.openxmlformats.org/officeDocument/2006/relationships/hyperlink" Target="http://kodeks.duckdns.org/document/93475" TargetMode="External"/><Relationship Id="rIddnb6-rtraz7s1y7ryevlg" Type="http://schemas.openxmlformats.org/officeDocument/2006/relationships/hyperlink" Target="http://kodeks.duckdns.org/document/158689" TargetMode="External"/><Relationship Id="rIdoq22mcmai4xvrhvy7nitb" Type="http://schemas.openxmlformats.org/officeDocument/2006/relationships/hyperlink" Target="http://kodeks.duckdns.org/document/158733" TargetMode="External"/><Relationship Id="rId47_nspgglwk_y0mviy2ps" Type="http://schemas.openxmlformats.org/officeDocument/2006/relationships/hyperlink" Target="http://kodeks.duckdns.org/document/158689" TargetMode="External"/><Relationship Id="rId7" Type="http://schemas.openxmlformats.org/officeDocument/2006/relationships/image" Target="media/93bec1c1538034512fe33c1434ae0ea86b639d33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2026-09-23T15:13:45.392Z</dcterms:created>
  <dcterms:modified xsi:type="dcterms:W3CDTF">2026-09-23T15:13:45.392Z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