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nbfvff7oluubdyrl_l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26 января 2026 года № 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формированию, рассмотрению и исполнению среднесрочных стратегий бюджетных расходов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hyperlink w:history="1" r:id="rId63uhpx-ajl8e_k9wva2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 порядок формирования (разработки/обновления), а также рассмотрения среднесрочных стратегий бюджетных расходов (далее - ССБР) главными распорядителями бюджетных средств (далее - ГРБС). ГРБС формирующие ССБР определяются Перечнем государственных органов исполнительной власти, представляющих ССБР, утверждаемый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ССБР определяют стратегическую цель и задачи сектора/отрасли, бюджетные программы, а также показатели результатов деятельности государственных органов, уполномоченных проводить государственную политику в соответствующем секторе/отрасли.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ССБР ежегодно формируются, обновляются и уточняются как часть документа "Основные направления фискальной политики Кыргызской Республики". ССБР предназначены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объективной оценки ситуации в секторе/отрасли и формирования прогнозов развития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новых инициатив и направлений по развитию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основы для формирования проекта бюджета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рассмотрение проекта ССБР осуществляются по графику, приведенному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ежегодного цикла формирования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092"/>
        <w:gridCol w:w="1234"/>
        <w:gridCol w:w="161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Этапы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подготовки проекта ССБР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проекта ССБР на официальном веб-сайте ГРБС и оповещение о проведении общественных слушаний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проекту ССБР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ССБР в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финансовых параметров проекта ССБР с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ГРБС, 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представленных проектов ССБР для включения в проект документа "Основные направления фискальной политики на среднесрочный период" (далее - ОНФП)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ОНФП и материалов по имеющимся разногласиям в Совет Кабинета Министров Кыргызской Республики по фискальной и инвестиционной политике Кыргызской Республики (далее - Совет Кабинета Министров)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полугодия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ОНФП и устранение разногласий по контрольным цифрам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календарных дней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ОНФП Советом Кабинета Министров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ОНФП на официальном веб-сайте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рабочих дней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ГРБС, несущее ответственность за координацию процесса планирования и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подпрограмма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бюджетной программы, представляющая собой виды деятельности (мероприятия, проекты, постоянно выполняемые функции, регулярные закупки), напрямую способствующие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подпрограмм, направленных на достижение результатов, связанных с целями национальной стратегии и/или стратегических/программных документов развития, и/или функциями государственного управления/местного самоуправления, обеспечиваемые бюджетными средствами. Бюджетная программа направлена на выполнение одной из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результативности</w:t>
      </w:r>
      <w:r>
        <w:rPr>
          <w:rFonts w:ascii="Arial" w:cs="Arial" w:eastAsia="Arial" w:hAnsi="Arial"/>
          <w:sz w:val="24"/>
          <w:szCs w:val="24"/>
        </w:rPr>
        <w:t xml:space="preserve"> - показатели, характеризующие степень достижения запланированных результатов или конкретное состояние сектора/отрасли. Показатели результативности используются в качестве ориентиров для достижения целей сектора/отрасли или в качестве критериев оценки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</w:t>
      </w:r>
      <w:r>
        <w:rPr>
          <w:rFonts w:ascii="Arial" w:cs="Arial" w:eastAsia="Arial" w:hAnsi="Arial"/>
          <w:sz w:val="24"/>
          <w:szCs w:val="24"/>
        </w:rPr>
        <w:t xml:space="preserve"> - конкретное состояние сектора/отрасли, достижение которого является желательным с общественной точки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прогнозные показатели</w:t>
      </w:r>
      <w:r>
        <w:rPr>
          <w:rFonts w:ascii="Arial" w:cs="Arial" w:eastAsia="Arial" w:hAnsi="Arial"/>
          <w:sz w:val="24"/>
          <w:szCs w:val="24"/>
        </w:rPr>
        <w:t xml:space="preserve"> - показатели прогнозируемого периода, закрепленные законом о республиканском бюджете в предыдущем цикле формирования республиканского бюджета (прогнозные показатели), на основании которого осуществляется распределение бюджетных средств по программам при формировании ССБР;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</w:t>
      </w:r>
      <w:r>
        <w:rPr>
          <w:rFonts w:ascii="Arial" w:cs="Arial" w:eastAsia="Arial" w:hAnsi="Arial"/>
          <w:sz w:val="24"/>
          <w:szCs w:val="24"/>
        </w:rPr>
        <w:t xml:space="preserve"> - перечень бюджетных программ и составляющих их бюджетных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(УГО)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ГРБС создают рабочую группу из представителей профильных, стратегических, экономических и финансовых подразделений и подведомственных организаций (далее - рабочая группа). Рабочую группу возглавляет заместитель министра ГРБС (далее - заместитель министра) или руководитель аппарата ГРБС. Рабочая группа исполняет основную функцию по формированию ССБР сектора/отрасли, политику которых определяют ГРБС. ГРБС в срок до 20 марта очередного бюджетного года направляют в уполномоченный государственный орган копию ведомственного акта о создании рабочей группы, а также контактные данные администраторов бюджетных программ и ответственного сотрудника, осуществляющего взаимодействие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ГРБС отвечают за управление и реализацию политики в нескольких секторах/отраслях, то они разрабатывают несколько ССБР для каждого отдельного сектора/отрасли. Рабочая группа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организация работы по формированию/обновлению проекта ССБР;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обсуждение ключевых вопросов, формулировка бюджетных программ, принятие решений по приоритетам в распределении бюджетных расходов по бюджетным программам, определение ожидаемых результатов от реализации бюджетных программ, подготовка и представление проекта ССБР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в управлении и реализации политики сектора/отрасли задействовано несколько государственных органов, создаются межведомственные рабочие группы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рабочей группы осуществляется в соответствии с графиком работы, приведенным в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685"/>
        <w:gridCol w:w="6860"/>
        <w:gridCol w:w="139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</w:t>
            </w:r>
          </w:p>
        </w:tc>
        <w:tc>
          <w:tcPr>
            <w:tcW w:type="dxa" w:w="6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процесса подготовки проекта ССБР</w:t>
            </w:r>
          </w:p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ведомственным актом состава рабочей группы. Назначение сотрудника, ответственного за взаимодействие с уполномоченным государственным органом по вопросам подготовки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уполномоченный государственный орган копии ведомственного акта о создании рабочей группы, а также контактных данных администраторов бюджетных программ и ответственного сотрудника, осуществляющего контакт с уполномоченным государственным органом по вопросам подготовки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рабочей группы по обсуждению основных направлений отраслевой политики, определению бюджетных программ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марта очередного бюджетного года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разработки ССБР</w:t>
            </w:r>
          </w:p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бюджетных программ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администраторами бюджетных программ описательной части бюджетных программ по форме согласно </w:t>
            </w:r>
            <w:hyperlink w:history="1" r:id="rIdjm3lhelobrdgtvenwcrk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Инструкции для обсуждения на заседании рабочей группы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администраторами бюджетных программ предложений по показателям результативности для бюджетных программ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бюджетных программ, показателей результативности бюджетных программ на заседаниях рабочей группы с участием представителей гражданского общества либо общественного совета (при наличии)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5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ССБР по форме согласно </w:t>
            </w:r>
            <w:hyperlink w:history="1" r:id="rIduq9bf4kq6c0zh9paz1xw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Инструкции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обсуждение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 ССБР с учетом замечаний и предложений по итогам проведения общественных слушаний по проекту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проекта ССБР руководителем ГРБС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ССБР в уполномоченный государственный орган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 очередного бюджетного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ССБР одобряется руководителем ГРБС до представления в уполномоченный государственный орган. Для секторов/отраслей, в управлении и реализации политики которых задействовано несколько ГРБС, проект ССБР одобряется подписями 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ССБР представляется в уполномоченный государственный орган в срок до 15 мая текущего года на государственном и официальном языках согласно приложениям </w:t>
      </w:r>
      <w:hyperlink w:history="1" r:id="rIddfrumrhbac8xfqxkold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2riuum8xkcbm5_bq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Электронные форматы документов для заполнения предоставляются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документов по проекту ССБР формируется и представляется в уполномоченный государственный орган в соответствии с </w:t>
      </w:r>
      <w:hyperlink w:history="1" r:id="rIdeho4jo-cy3mwow5xlz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Ресурсная основа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Ресурсной основой формирования проекта ССБР являются показатели прогнозируемого периода, закрепленные законом Кыргызской Республики о республиканском бюджете в предыдущем цикле формирования республиканского бюджета (прогнозные показатели).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сумма расходов по бюджетным программам, представленным в проекте ССБР, должна соответствовать прогнозным показателям по ГРБС, с учетом структурных изменений, произошедших с момента утверждения прогнозных показателей. Отклонения от прогнозных показателей не могут превышать 10 процентов. В первую очередь, такие отклонения должны включать новые текущие расходы по обеспечению деятельности активов, созданных в результате реализации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Отклонения подлежат обсуждению с уполномоченным государственным органом. В случае формирования проекта ССБР совместно с несколькими ГРБС общая сумма расходов по бюджетным программам, представленным в ССБР, должна соответствовать общей сумме прогнозных показателей по ГРБС, формирующих ССБР, с учетом структурных изменений, произошедших с момента утверждения прогнозных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Новые бюджетные программы, требующие дополнительного финансирования, выходящего за рамки прогнозных показателей, представляются ГРБС в ССБР в виде сценария бюджетной программы с определением подпрограмм. Новые бюджетные программы, требующие дополнительного финансирования, включенные в ССБР в виде сценария, и их стоимость отображаются только в текстовой части ССБР.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внебюджетных источников финансирования программ (подтвержденные средства партнеров по развитию, средства фондов развития), частных средств, а также средств других бюджетов бюджетной системы, направленных на достижение цели программы, вышеуказанные средства указываются в текстовой части ССБР по каждой бюджетной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 когда ГРБС, вовлеченные в реализацию бюджетной программы, являются не единственными исполнителями, в текстовой части ССБР отражается подробная информация о соисполнителях, их роли в достижении ожидаемых результатов бюджетной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Формат и порядок подготовки проекта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Процесс формирования проекта ССБР состоит из следующих шагов: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стратегической цели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формулирование/обновление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распределение финансовых средств по бюджетным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показателей результативности для каждой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шаг процесса формирования проекта ССБР сопровождается описанием. Требования к содержанию и описанию разделов ССБР изложены в </w:t>
      </w:r>
      <w:hyperlink w:history="1" r:id="rId-ceh190iqepzvlwjc8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Описание сектора/отрасли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Процесс разработки проекта ССБР начинается с описания сектора/отрасли, к которой относится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требованиями к описанию сектора/отрасли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особенностей (масштаб и основные составляющие) и состояния (проблемы и достижения) сектора/отрасли на момент формирования проекта ССБР, с приведением краткой статистики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роль ГРБС в определении и реализации политики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Описание сектора/отрасли представляется в ССБР по форме согласно </w:t>
      </w:r>
      <w:hyperlink w:history="1" r:id="rIdmvkwhwdvyopgea_f1j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Определение стратегической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ГРБС должны сформулировать стратегическую цель сектора/отрасли. В случаях когда ГРБС не относятся к конкретному сектору/отрасли, формулируется стратегическая цель организации. Если стратегическая цель сектора/отрасли уже была сформирована ранее и была согласована с уполномоченным государственным органом, то она остается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формулировке стратегической цели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четкость, определенность и краткость формулировки;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достижимость и измеримость (предпочтительно);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общественной значимости/выгоды от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направленность на достижение конкретного результата, а не на процесс.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Формулировка стратегической цели должна быть понятной и не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специальных терминов и аббревиатур, затрудняющих ее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терминов, понятий и выражений, которые допускают произвольное или неоднозначное толкование;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указаний на иные цели, задачи, эффекты или результаты, которые являются следствием достижения самой стратегической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описания средств и методов достижения стратегической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Стратегическая цель сектора/отрасли вносится в раздел "Стратегическая цель" ССБР по форме согласно </w:t>
      </w:r>
      <w:hyperlink w:history="1" r:id="rIdqbq4n3lrodxmtyeles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Определение задач сектора/отрасли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Задачи сектора/отрасли должны быть направлены на достижение стратегической цели и отражать основные приоритетные направления деятельности. Задачи сектора/отрасли являются основой для определения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Задачи сектора/отрасли должны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задачи должны соответствовать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задач должна быть краткой и четкой без специальных терминов и аббревиатур, затрудняющих их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задачи не должны дублировать формулировку стратегической цели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задач не должно быть большим (рекомендуется не более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совокупность задач сектора/отрасли по отношению к цели сектора/отрасли должна отвечать принципам необходимости (решение каждой задачи является необходимым условием достижения цели) и достаточности (решение всех задач является достаточным условием достижения цели);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недопустима постановка задач, направленных на обеспечение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задач не должен дублировать перечень функций из положения, регулирующего деятельность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задач не должно рассматриваться решение проблем финансирования сектора/отрасли.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задачи сектора/отрасли уже были сформированы ранее и приняты уполномоченным государственным органом, то они остаются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Сформулированные задачи представляются в виде перечня задач в разделе "Задачи" по форме согласно </w:t>
      </w:r>
      <w:hyperlink w:history="1" r:id="rId7yh3xhfjtrlfa3olpw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Формулирование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Взаимосвязанные основные направления деятельности ГРБС группируются в бюджетные программы в соответствии с объединяющими их задачами сектора/отрасли.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каждой бюджетной программы должна быть определена цель, которая формулируется четко и лаконично, является конкретной, достижимой, измеримой, ориентированной на внешнего потребителя услуг сектора/отрасли, направленной на достижение результата. Формулировка цели не должна содержать специальных терминов и аббревиатур, затрудняющих ее понимание.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каждой бюджетной программы определяется ожидаемый результат, который формулируется кратко, понятно, с указанием значения планового показателя в среднесрочном или долгосрочном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формулировке бюджетных программ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государственной политики в секторе/отрасли и четкая взаимосвязь с приоритетами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направленность бюджетной программы на решение одной из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краткость названия бюджетных программ без применения специальных терминов и аббревиатур, затрудняющих их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количества бюджетных программ (количество бюджетных программ не может быть меньше количества задач сектора и не должно быть чрезмерно большим);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программной структуры во времени. Новые бюджетные программы/подпрограммы включаются по согласованию с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по проведению реформ и инвестиционные проекты, финансируемые в рамках бюджета ГРБС, не могут определяться в качестве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либо увеличение объемов финансирования не является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бюджетная программа должна быть общественно значимой - показывать выгоды от деятельности ГРБС и не должна быть направлена на решение проблем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бюджетные программы сектора/отрасли уже сформулированы ранее 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преобразования в Кабинете Министров Кыргызской Республики и внутри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кардинальный пересмотр функций ГРБС как следствие процесса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программной структуры (объединение мелких программ или дезагрегация крупных);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программной структуры с задачами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оценки результативности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международных обязательств и реализация донорских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законодательной и нормативной базе, затрагивающие содержательную часть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перечне бюджетных программ отражается стандартная программа "Управление и администрирование", охватывающая функции подразделений, расходы которых сложно распределить по основным бюджетным программам. Реализация данной программы оказывает координирующее и организационное воздействие на реализацию других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бюджетной программе "Управление и администрирование" относятся: высшее руководство; финансовая служба; подразделения, ответственные за осуществление мониторинга и контроля; управление человеческими ресурсами; подразделения международного сотрудничества; юридическая служба; внутренний аудит; службы по связям с общественностью, пресс-секретари и т.п. Не допускается отнесение к данной программе всех расходов, осуществляемых центральным аппаратом ГРБС. Территориальные подразделения ГРБС, выполняющие несколько функций, относящихся к разным бюджетным программам/подпрограммам, указываются в виде одной бюджетной подпрограммы в бюджетной программе "Управление и администрирование".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Бюджетная программа "Управление и администрирование" указывается первой в списке.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Сформулированные бюджетные программы вносятся в раздел "Бюджетные программы" по форме, приведенной в </w:t>
      </w:r>
      <w:hyperlink w:history="1" r:id="rIdzsdnmlht4po3atar7-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а также в таблице "Анализ финансирования бюджетных программ" по форме, приведенной в </w:t>
      </w:r>
      <w:hyperlink w:history="1" r:id="rIdmqpsia2xrcsxazefom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заполнении таблицы необходимо указывать коды бюджетных программ, соответствующие кодам программной бюджетной классификации. В случае отсутствия кода программной бюджетной классификации бюджетная программа указывается как "новая программа" для последующего присвоения ей кода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значительного изменения программной структуры формируемого проекта ССБР в сравнении с программной структурой, представленной в предыдущем цикле формирования бюджета, представляется обоснование вносимых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Распределение средств по бюджетным программам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Прогнозные показатели бюджета ГРБС должны быть распределены в ССБР по бюджетным программам. Расчет расходов по бюджетным программам должен быть основан на определении стоимости бюджетных подпрограмм. Для этого администраторы бюджетных программ используют показатели стоимости бюджетных подпрограмм, рассчитанных в ходе прошлогоднего цикла формирования бюджетных заявок в программном формате, с корректировками (при необходимости) в пределах 10 процентов их стоимости. Распределение средств по новым бюджетным подпрограммам определяется исходя из предварительных расчетов на основе методики, утвержденной для формирования бюджетов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расчетов вносятся в таблицу "Анализ финансирования бюджетных программ" по форме, приведенной в </w:t>
      </w:r>
      <w:hyperlink w:history="1" r:id="rIds6dcltdykakgkz_o4e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Внебюджетные источники финансирования программ указываются в ССБР по каждой программе в таблице "Анализ финансирования бюджетных программ" отдельно от средств, выделяемых из республиканского бюджета. Итоговая сумма по всем внебюджетным источникам указывается отдельной строкой "Итого за счет внебюджетных источников".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Определение показателей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каждой бюджетной программы определяются измеримые ожидаемые результаты. Для их описания применяются показатели результативности. Отбор показателей результативности осуществляется с учетом требований методики, утвержденной в Инструкции по формированию, рассмотрению и исполнению бюджетов на программной основе, утверждаемой Кабинетом Министров Кыргызской Республики. Наименования показателей результативности бюджетных программ/подпрограмм должны оставаться стабильными во времени, т.е. если показатели результативности уже были сформулированы ранее в программном бюджете ГРБС 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бюджетных программ/подпрограмм;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показателей результативности осуществляются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Ожидаемые результаты бюджетных программ отражаются в текстовой части ССБР и в таблице "Анализ финансирования бюджетных программ" по форме согласно </w:t>
      </w:r>
      <w:hyperlink w:history="1" r:id="rIdihncweq8tuvjlmiecek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Проекты ССБР и показатели результативности бюджетных программ подлежат общественному обсуждению в срок не позднее 25 апреля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итогам проведения общественных слушаний ГРБС формируют протокол общественного обсуждения, матрицу учета замечаний и предложений по итогам общественного обсуждения проекта ССБР. Протокол общественного обсуждения представляется в уполномоченный государственный орган вместе с проектом ССБР.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 ССБР рассматривается и одобряется руководителем ГРБС для представления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рассматривает проекты ССБР на предмет соответствия требованиям настоящей Инструкции и методики, утвержденной для формирования бюджетов на программной основе (в части распределения средств по бюджетным программам), и в случае несоответствия изложенным требованиям, возвращает представленный проект ССБР на доработку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ГРБС дорабатывают проект ССБР с учетом замечаний и предложений уполномоченного государственного органа. Доработанный проект ССБР представляется в уполномоченный государственный орган в течение трех рабочих дней со дня его направления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Свод представленных ССБР для включения в проект ОНФП обеспечивается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Исполнение среднесрочных стратегий ГРБС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ССБР исполняются ГРБС посредством исполнения программного бюджета, рассмотренного и исполненного в соответствии с Инструкцией о порядке формирования, рассмотрения и исполнения бюджетов на программной основе, утверждаемой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СТРАТЕГИЯ
 бюджетных расходов на 20___-20___ гг.
 по сектору/отрасли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(стандартное описание необходимости составления ССБР): "Настоящий документ является официальной среднесрочной (охватывающей трехлетний период с 20___ г. по 20___ г.) стратегией бюджетных расходов, которая включена в проект "Основные направления фискальной политики Кыргызской Республики на 20___-20___ гг".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бюджетные программы в рамках реализации политики сектора/отрасли и их финансирование в пределах запланированных для этого средств республиканского бюджета, а также подтвержденные внебюджетные источники финансирования.".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сектора/отрасли: краткое описание специфики сектора/отрасли (3-4 абзаца), краткая отраслевая статистика, проблематика и развитие).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роли ГРБС в управлении сектором/отраслью и его развитии (1 абзац).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Стратегическая цель сектора/отрасли (долгосрочная, общественно-значимая, понятная, измеримая); (максимум 1 абзац - цель и очень краткое пояснение, если необходимо).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сектора/отрасли (среднесрочные, общественно значимые, согласующиеся с национальными и отраслевыми программами развития); (перечисление задач в нескольких пунктах; задач не должно быть много - максимум 4-5 (необходимо помнить о том, что количество задач не может превышать количество бюджетных программ), можно привести пояснения (1-2 абзаца). Не допускается постановка задач, направленных на обеспечение деятельности ГРБС, увеличение бюджетных ассигнований.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программы (наименование; указание кода бюджетной программы в бюджетной классификации; указание номера задачи сектора/отрасли, которую решает программа; очень краткое описание (1-2 абзаца) - информация о текущей ситуации по данному направлению и актуальность программы), (количество программ не должно быть меньше количества задач сектора/отрасли. Несколько программ могут решать одну задачу, но одна программа не может относиться к нескольким задачам).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в списке бюджетных программ должна быть стандартная бюджетная программа "Управление и администрирование". В этой программе должны группироваться административные расходы структурных, территориальных и подведомственных подразделений, которые сложно распределить по основным бюджетным программам.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каждой бюджетной программы приводится предполагаемый перечень бюджетных подпрограмм (перечень без описания). За реализацию одной бюджетной подпрограммы отвечает одна организация или подразделение.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Сценарии: в случае если новая бюджетная подпрограмма планируется за счет изменения политики, появляется впервые в программной структуре бюджета ГРБС и требует дополнительного финансирования сверх установленных для ГРБС прогнозных показателей, информация по такой бюджетной подпрограмме представляется в описании соответствующей бюджетной программы в следующем формате: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код бюджетной программы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новой бюджетной подпрограммы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 новой инициативы (необходимость и общественная полезность, ссылка на стратегию национального уровня/инициативу Президента Кыргызской Республики, Кабинета Министров Кыргызской Республики, отраслевую стратегию развития)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финансирования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Х+1
 (план)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Х+2
 (прогноз)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Х+3
 (прогноз)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Государственные инвестиции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1 (единица измерения)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2 (единица измерения)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 (если необходимо)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перечисляются ожидаемые результаты реализации бюджетной программы в среднесрочном периоде. Ожидаемый результат должен быть измеримым и реалистичным и иметь социальную значимость. Показатели результативности бюджетных подпрограмм на данном этапе не определяются.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Финансовый план (стоимость бюджетных программ, включая бюджетные ассигнования, специальные средства, государственные инвестиции, внебюджетные источники). Описывается общий объем расходов по бюджетным программам сектора/отрасли и существенные изменения в его динамике за прошлые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когда ГРБС, вовлеченные в реализацию бюджетной программы, являются не единственными исполнителями, необходимо указать информацию о соисполнителях, их роли в достижении ожидаемых результатов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
 финансирования бюджетных программ по сектору/отрасли ____________________ на 20___-20___ гг.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ГРБС (полное наименование)
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413"/>
        <w:gridCol w:w="415"/>
        <w:gridCol w:w="4658"/>
        <w:gridCol w:w="1044"/>
        <w:gridCol w:w="1044"/>
        <w:gridCol w:w="1044"/>
        <w:gridCol w:w="1087"/>
      </w:tblGrid>
      <w:tr>
        <w:tc>
          <w:tcPr>
            <w:tcW w:type="dxa" w:w="4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ЦУР</w:t>
            </w:r>
          </w:p>
        </w:tc>
        <w:tc>
          <w:tcPr>
            <w:tcW w:type="dxa" w:w="4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ПП</w:t>
            </w:r>
          </w:p>
        </w:tc>
        <w:tc>
          <w:tcPr>
            <w:tcW w:type="dxa" w:w="46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подпрограммы</w:t>
            </w:r>
          </w:p>
        </w:tc>
        <w:tc>
          <w:tcPr>
            <w:tcW w:type="dxa" w:w="31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программам/подпрограммам)
 (тыс. сомов)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
 План.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
 План.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
 План.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координирующее и организационное воздействие на реализацию других программ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"Управление и администрирование",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2,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всем программам,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счет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проекту среднесрочной стратегии бюджетных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 проекта среднесрочной стратегии бюджетных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1. Анализ финансирования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общественного обсуждения проекта среднесрочной стратегии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xeqsadop-pa1exwpp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dalil.kg/document/230043223</w:t>
      </w:r>
    </w:hyperlink>
  </w:p>
  <w:p>
    <w:pPr>
      <w:spacing w:after="0" w:before="40"/>
      <w:jc w:val="center"/>
    </w:pPr>
    <w:hyperlink w:history="1" r:id="rIdnwfg6f4mn8c1eyn6l1e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bfvff7oluubdyrl_lh4" Type="http://schemas.openxmlformats.org/officeDocument/2006/relationships/hyperlink" Target="https://dalil.kg/document/230039017" TargetMode="External"/><Relationship Id="rId63uhpx-ajl8e_k9wva2x7" Type="http://schemas.openxmlformats.org/officeDocument/2006/relationships/hyperlink" Target="https://dalil.kg/document/111338#st_84" TargetMode="External"/><Relationship Id="rIdjm3lhelobrdgtvenwcrkq" Type="http://schemas.openxmlformats.org/officeDocument/2006/relationships/hyperlink" Target="https://dalil.kg/document/230043223#pr_1" TargetMode="External"/><Relationship Id="rIduq9bf4kq6c0zh9paz1xw-" Type="http://schemas.openxmlformats.org/officeDocument/2006/relationships/hyperlink" Target="https://dalil.kg/document/230043223#pr_1" TargetMode="External"/><Relationship Id="rIddfrumrhbac8xfqxkoldz_" Type="http://schemas.openxmlformats.org/officeDocument/2006/relationships/hyperlink" Target="https://dalil.kg/document/230043223#pr_1" TargetMode="External"/><Relationship Id="rId2x2riuum8xkcbm5_bqx4p" Type="http://schemas.openxmlformats.org/officeDocument/2006/relationships/hyperlink" Target="https://dalil.kg/document/230043223#pr_2" TargetMode="External"/><Relationship Id="rIdeho4jo-cy3mwow5xlzebt" Type="http://schemas.openxmlformats.org/officeDocument/2006/relationships/hyperlink" Target="https://dalil.kg/document/230043223#pr_3" TargetMode="External"/><Relationship Id="rId-ceh190iqepzvlwjc8yzf" Type="http://schemas.openxmlformats.org/officeDocument/2006/relationships/hyperlink" Target="https://dalil.kg/document/230043223#pr_1" TargetMode="External"/><Relationship Id="rIdmvkwhwdvyopgea_f1jqmb" Type="http://schemas.openxmlformats.org/officeDocument/2006/relationships/hyperlink" Target="https://dalil.kg/document/230043223#pr_1" TargetMode="External"/><Relationship Id="rIdqbq4n3lrodxmtyeles4bt" Type="http://schemas.openxmlformats.org/officeDocument/2006/relationships/hyperlink" Target="https://dalil.kg/document/230043223#pr_1" TargetMode="External"/><Relationship Id="rId7yh3xhfjtrlfa3olpwevs" Type="http://schemas.openxmlformats.org/officeDocument/2006/relationships/hyperlink" Target="https://dalil.kg/document/230043223#pr_1" TargetMode="External"/><Relationship Id="rIdzsdnmlht4po3atar7-qgs" Type="http://schemas.openxmlformats.org/officeDocument/2006/relationships/hyperlink" Target="https://dalil.kg/document/230043223#pr_1" TargetMode="External"/><Relationship Id="rIdmqpsia2xrcsxazefomjim" Type="http://schemas.openxmlformats.org/officeDocument/2006/relationships/hyperlink" Target="https://dalil.kg/document/230043223#pr_2" TargetMode="External"/><Relationship Id="rIds6dcltdykakgkz_o4edtp" Type="http://schemas.openxmlformats.org/officeDocument/2006/relationships/hyperlink" Target="https://dalil.kg/document/230043223#pr_2" TargetMode="External"/><Relationship Id="rIdihncweq8tuvjlmiecekr_" Type="http://schemas.openxmlformats.org/officeDocument/2006/relationships/hyperlink" Target="https://dalil.kg/document/230043223#pr_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xeqsadop-pa1exwppi7" Type="http://schemas.openxmlformats.org/officeDocument/2006/relationships/hyperlink" Target="https://dalil.kg/document/230043223" TargetMode="External"/><Relationship Id="rIdnwfg6f4mn8c1eyn6l1e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2026-09-25T11:28:43.949Z</dcterms:created>
  <dcterms:modified xsi:type="dcterms:W3CDTF">2026-09-25T11:28:43.949Z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