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ar2hhpkmx0qzyiup-z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декабря 2025 года № 845)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nxlinypnstq2vw84ej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Порядок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 (далее - Порядок) разработан в соответствии с Бюджетным </w:t>
      </w:r>
      <w:hyperlink w:history="1" r:id="rIdq4ezl5udzc83ugjmjuu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единые правила процесса формирования и внесения изменений в республиканский бюджет, а также порядок перераспределения бюджетных средств в процессе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Формирование проекта республиканского бюджета и внесение изменений в республиканский бюджет является исключительной прерогативой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Непосредственное формирование проекта республиканского бюджета осуществляет уполномоченный государственный орган по прогнозированию и исполнению бюджета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программных, программно-аппаратных и аппаратных средств, методов и процедур, обеспечивающих генерирование, обработку, передачу, прием, хранение данных по формированию проекта республиканского бюджета Кыргызской Республики на очередной бюджетный год и плановый период и внесение изменений в него в системе казначейства;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ГРБС</w:t>
      </w:r>
      <w:r>
        <w:rPr>
          <w:rFonts w:ascii="Arial" w:cs="Arial" w:eastAsia="Arial" w:hAnsi="Arial"/>
          <w:sz w:val="24"/>
          <w:szCs w:val="24"/>
        </w:rPr>
        <w:t xml:space="preserve"> - главный распорядитель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 </w:t>
      </w:r>
      <w:r>
        <w:rPr>
          <w:rFonts w:ascii="Arial" w:cs="Arial" w:eastAsia="Arial" w:hAnsi="Arial"/>
          <w:sz w:val="24"/>
          <w:szCs w:val="24"/>
        </w:rPr>
        <w:t xml:space="preserve">- предельный показатель бюджетных средств, на основании которого осуществляется формирование расходов бюджетных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ПБС</w:t>
      </w:r>
      <w:r>
        <w:rPr>
          <w:rFonts w:ascii="Arial" w:cs="Arial" w:eastAsia="Arial" w:hAnsi="Arial"/>
          <w:sz w:val="24"/>
          <w:szCs w:val="24"/>
        </w:rPr>
        <w:t xml:space="preserve"> - получатель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РБС</w:t>
      </w:r>
      <w:r>
        <w:rPr>
          <w:rFonts w:ascii="Arial" w:cs="Arial" w:eastAsia="Arial" w:hAnsi="Arial"/>
          <w:sz w:val="24"/>
          <w:szCs w:val="24"/>
        </w:rPr>
        <w:t xml:space="preserve"> - распорядитель бюджетными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смета расходов по бюджетным средствам (далее - смета по бюджетным средствам)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расходы ГРБС/РБС/ПБС на их функционирование и проводимые мероприятия по средствам на бюджетных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смета доходов и расходов по учету средств на специальных счетах (далее - смета по средствам на специальных счетах)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доходы и расходы ГРБС/РБС/ПБС на их функционирование и проводимые мероприятия по средствам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квалифицированная цифровая подпись (ЦП)</w:t>
      </w:r>
      <w:r>
        <w:rPr>
          <w:rFonts w:ascii="Arial" w:cs="Arial" w:eastAsia="Arial" w:hAnsi="Arial"/>
          <w:sz w:val="24"/>
          <w:szCs w:val="24"/>
        </w:rPr>
        <w:t xml:space="preserve"> - цифровая подпись, соответствующая требованиям квалифицированной цифровой подписи в соответствии с законодательством Кыргызской Республики о цифровой подписи.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Основы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Проект республиканского бюджета формируется на очередной бюджетный год и плановый период (далее - проект республиканского бюджета).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Проект республиканского бюджета разрабатывается на основе прогноза социально-экономического развития Кыргызской Республики, а также основных направлений фискальной политики на среднесрочный период (далее - ОНФП), представленных на рассмотрение Совета Кабинета Министров Кыргызской Республики по фискальной и инвестиционной политике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целях своевременного и качественного формирования проекта республиканского бюджета уполномоченный государственный орган имеет право запрашивать и получать необходимые сведения от бюджетных учреждений, предприятий, хозяйственных организаций и других получателей бюджетных ассигнований.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формирования проектов бюджетов ГРБС/ПБС/РБС, финансируемых из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Контрольные цифры по ведомственной классификации расходов, представленные в ОНФП, являются основой для формирования проектов бюджетов ГРБС/РБС/ПБС.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Уполномоченным государственным органом до ГРБС доводятся контрольные цифры. ГРБС обеспечивают своевременное их доведение до РБС и ПБС для составления смет по бюджетным средствам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Уполномоченные сотрудники уполномоченного государственного органа вносят в автоматизированную систему контрольные цифры по ведомственной классификации расходов после их доведения до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ГРБС распределяет доведенные контрольные цифры при формировании смет по бюджетным средствам.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Сметы по бюджетным средствам и сметы по средствам на специальных счетах формируются исключительно в автоматизированной системе каждым ГРБС/РБС/ПБС по ведомственной, программной, функциональной классификации в разрезе экономической классификации доходов, расходов, классификации операций с активами и обязательствами согласно приложениям </w:t>
      </w:r>
      <w:hyperlink w:history="1" r:id="rIdtvd61kznlny1chjz0e5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goojpmd1cdntjkfkh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срок до 25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ГРБС/РБС/ПБС формируют сметы по бюджетным средствам в автоматизированной системе посредством распределения доведенных контрольных цифр по ведомственной, программной, функциональной классификации в разрезе экономической классификации расходов и классификации операций с активами и обязательствами.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ГРБС/РБС/ПБС формируют в автоматизированной системе сметы по средствам на специальных счетах.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Сметы по бюджетным средствам и сметы по средствам на специальных счетах визируются уполномоченным сотрудником и руководителем ГРБС в автоматизированной системе с использованием ЦП и доводятся до уполномоченного государственного органа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Ответственные сотрудники уполномоченного государственного органа в процессе рассмотрения доведенных ГРБС смет по бюджетным средствам: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проверяют соответствие сумм расходов, включенных в сметы по бюджетным средствам, прогнозным параметрам ОНФП и их обоснованность;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проверяют правильность формирования размеров фонда оплаты труда и применения в расчетах норм и цен материальных и денежных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оценку необходимости расходов, проверку наличия обоснованных расчетов к бюджетным заявкам.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 Снижение объемов бюджетных ассигнований по ГРБС/РБС/ПБС, изменение объемов ресурсов бюджета в сторону увеличения, а также изменения в случае сокращения прогнозируемых объемов ресурсов бюджета производится согласно </w:t>
      </w:r>
      <w:hyperlink w:history="1" r:id="rIdt9wblmanwbufoj9wvd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При отсутствии замечаний к сметам по бюджетным средствам и распределению бюджетных ассигнований уполномоченные сотрудники уполномоченного государственного органа принимают их посредством визирования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В случае наличия замечаний к сметам по бюджетным средствам ответственные сотрудники уполномоченного государственного органа возвращают их ГРБС в автоматизированной системе для устранения замечаний.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ГРБС в течение дня возврата сметы по бюджетным средствам вносит в них корректировки в соответствии с представленными уполномоченным государственным органом замечаниями и повторно представляет их на рассмотрение в уполномоченный государственный орган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После рассмотрения и уточнения смет по бюджетным средствам ГРБС уполномоченный государственный орган в срок до 25 августа текущего бюджетного года формирует проект закона Кыргызской Республики о республиканском бюджете Кыргызской Республики на очередной бюджетный год и плановый период (далее - проект закона о республиканском бюджете).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В процессе рассмотрения могут вноситься уточнения в сметы, а также иные документы, представляемые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Бюджетные учреждения обязаны обеспечивать расходование бюджетных средств в строгом соответствии с объемами и целевым назначением средств, предусмотренных в сметах расходов. Направление бюджетных средств на мероприятия, не предусмотренные сметами расходов,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. ГРБС представляет штатные расписания учреждений с определением годового объема фонда оплаты труда согласно </w:t>
      </w:r>
      <w:hyperlink w:history="1" r:id="rIdjlimihupebldifsgu9e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 составляются сводные объемы штатных расписаний с учетом годового объема фонда оплаты труда согласно </w:t>
      </w:r>
      <w:hyperlink w:history="1" r:id="rIdqxorxlyxiefttgzz3e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учреждениям социальной сферы ГРБС представляет штатные расписания и тарификационные списки с отражением всех выплат и доплат согласно нормативным правовым актам, регулирующим условия оплаты труда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. ГРБС/РБС/ПБС представляет уполномоченному государственному органу сведения о численности работников бюджетных учреждений по формам согласно приложениям </w:t>
      </w:r>
      <w:hyperlink w:history="1" r:id="rId4bwoppcdk7nd_eaqih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6ppq1u_rzyemfbhp8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. ГРБС формирует и представляет в уполномоченный государственный орган бюджеты на программной основе согласно инструктивным материалам, утвержденным в соответствии с бюджетным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раздела "Общегосударственные программы, мероприятия и выплаты" проекта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. В разделе "Общегосударственные программы, мероприятия и выплаты" проекта закона о республиканском бюджете предусматриваются бюджетные ассигнования на выполнение задач и функций государства: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и целевые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стимулирующие (долевые)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взносы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процентов и основной суммы по внешнему и внутреннему долгу;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погашение задолженности населению по индексированным суммам;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возмещение и возврат налога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исполнение решений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услуг банков (выплата коммерческим банкам и финансово-кредитным учреждениям);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приграничных территорий;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субсидирование процентных ставок коммерческих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финансирование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финансирование мероприятий по ликвидации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резервирование средств государственного бюджетного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содержание учреждений, переданных из местного бюджета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финансирование подготовки проектов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финансирование проектов 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накопление финансовых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мероприятия по борьбе с эпидемиями и/или пандемиями инфекционных заболеваний, а также последствиями их влияния на экономику;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перечисление денежных средств в Стабилизационный фонд Кыргызской Республики (далее - Стабилизационный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приобретение акций и иных форм участия в капитале юридических лиц, выдача кредитов юридическим лицам, сельским товаропроизводителям и предпринимателям в соответствии с Бюджетным </w:t>
      </w:r>
      <w:hyperlink w:history="1" r:id="rIdoxcmqo3wszb8a_l17co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повышение социальных выплат и другие мероприятия;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мероприятия и выплаты, которые могут возникнуть при формировании проекта республиканского бюджета, а также в ходе исполнения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 Мероприятия государственного значения и иные мероприятия государственных органов, а также повышение социальных выплат (далее - государственные мероприятия и социальные выплаты) предусматриваются в проекте закона о республиканском бюджете и в проекте закона о внесении изменений в закон о республиканском бюджете на покрытие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изменением размеров фонда оплаты труда, штатной численности, стипендий, питания, медикаментов, пенсий и пособий, а также изменением условий оплаты труда согласно принятым нормативным правовым актам и/или проектам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ростом тарифов на коммунальные услуги и цен на виды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возмещению возможных выпадений бюджетов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реализации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мероприятиям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другим планируемым мероприятиям государственных органов, не предусмотренных в контрольных цифрах.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государственные мероприятия и социальные выплаты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согласно заявкам ГРБС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ГРБС/РБС/ПБС в ходе исполнения бюджета бюджетных ассигнований, предусмотренные на государственные мероприятия и социальные выплаты,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ЦП справки-уведомления на внесение изменений в бюджет/перераспределение бюджетных средств из средств, предусмотренных на государственные мероприятия и социальные выплаты, на их соответствующие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. Гранты и кредиты, полученные от иностранных государств и международных финансовых организаций, являются средствами, выделенными на основании международных договоров Кыргызской Республики, которые должны использоваться в полном объеме по целевому назначению. В случае неиспользования в текущем году данных средств в полном объеме остатки на конец года являются источником финансирования в новом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 Финансирование расходов на подготовку проектов государственно-частного партнерства за счет средств Фонда финансирования подготовки проектов государственно-частного партнерства осуществляется на основании решения Наблюдательного совета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следующие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которые в соответствии со стратегическими документами, а также нормативными правовыми актами и распоряжениями Кабинета Министров Кыргызской Республики, в том числе разработка ТЭО, финансирование реального сектора экономики, бюджетное кредитование, приобретение акций, и иные формы участия в капитале юридических лиц. Средства, предусмотренные на финансирование проектов экономического развития, могут быть направлены на финансирование иных расходов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- средства, предусмотренные в расходной части республиканского бюджета для обеспечения сбалансированности и покрытия непредвиденных расходов в течение года. В течение бюджетного года распределяются на финансирование непредвиденных расходов республиканского бюджета согласно решениям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фискализация налоговых, таможенных и бюджетных процедур, а также иные неотложные расходы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общегосударственные расходы по борьбе с эпидемиями и/или пандемиями инфекционных заболеваний, а также последствиями их влияния на экономику (закупка вакцин, медицинского оборудования и медикаментов, выплата компенсаций и др.), а также поддержка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 в рамках реализации компонента "Безопасный город" проекта "Умный город",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в соответствии с</w:t>
      </w:r>
      <w:hyperlink w:history="1" r:id="rIdwdw-xczxazgxwvn5rne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пунктом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фискализация, общегосударственные расходы по борьбе с эпидемиями и/или пандемиями инфекционных заболеваний на основе одного или нескольких следующих вариантов: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 Кыргызской Республики,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"Общегосударственные программы, мероприятия и выплаты".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пункту 34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предусмотренные в соответствии с пунктом 34 настоящего Порядка, распределяются на соответствующие счета ГРБС/РБС/ПБС согласно нормативным правовым актам и/или распоряжениям Кабинета Министров Кыргызской Республики посредством справок-уведомлений о внесении изменений в бюджет/перераспределение бюджетных средств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. В случае неиспользования бюджетных ассигнований, предусмотренных в разделе "Общегосударственные программы, мероприятия и выплаты",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соответствии с прогнозами источников формирования Стабилизационного фонда, пунктами 1 и 2 части 1 </w:t>
      </w:r>
      <w:hyperlink w:history="1" r:id="rIdymmwyc1kirdhizgwarm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проекта республиканского бюджета уполномоченный государственный орган вправе устанавливать сумму перечисления части доходов республиканского бюджета в Стабилизационный фонд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по разделу "Общегосударственные программы, мероприятия и выплаты" формируются уполномоченным государственным органом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учреждений судебной системы Кыргызской Республики и Счетной палаты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. Проект бюджета судебной системы Кыргызской Республики формируется самостоятельно и по согласованию с исполнительной и законодательной властью включается в республиканский бюджет в соответствии с Бюджетным </w:t>
      </w:r>
      <w:hyperlink w:history="1" r:id="rIdgk6lfyvrtvti7r3pbm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. Счетная палата Кыргызской Республики для финансирования своей деятельности ежегодно самостоятельно формирует проект бюджета и направляет в Кабинет Министров Кыргызской Республики для предоставления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. Счетная палата Кыргызской Республики с заключением Кабинета Министров Кыргызской Республики направляет проект бюджета на согласование в профильный комитет Жогорку Кенеша Кыргызской Республики для включения его в состав проекта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. При наличии возражений со стороны Кабинета Министров Кыргызской Республики к проекту бюджета Счетной палаты Кыргызской Республики профильный комитет Жогорку Кенеша Кыргызской Республики рассматривает представленные возражения совместно с представителями Кабинета Министров Кыргызской Республики и Счетной палаты Кыргызской Республики. Согласованный проект бюджета Счетной палаты Кыргызской Республики направляется в уполномоченный государственный орган для включения в проект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. Счетная палата вправе внести на согласование профильному комитету Жогорку Кенеша Кыргызской Республики предложение о дополнительном финансировании, необходимом для обеспечения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. Проекты бюджетов судебной системы и Счетной палаты Кыргызской Республики представляются в уполномоченный государственный орган, в том числе посредством автоматизированной системы, в срок до 20 июля текущего года для включения в проект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согласно полученным проектам бюджетов включает в проект закона о республиканском бюджете бюджетные ассигнования учреждений судебной системы и Счетной палаты Кыргызской Республики в срок до 25 августа текущего бюджетного года.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трансферты бюджетной системы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Взаимоотношения между уровнями бюджетной системы Кыргызской Республики отражены в расходной части проекта закона о республиканском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. Отношения между уровнями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. В систему межбюджетных трансфертов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трансферты в виде выравнивающих трансфертов и целевых трансфертов;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 в бюджеты Социального фонда и Фонда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выравнивающие и целевые трансферты из республиканского бюджета местным бюджетам формируются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. Ассигнования из республиканского бюджета в бюджеты Социального фонда и Фонда обязательного медицинского страхования предоставляются и финансируются в соответствии с Бюджетным </w:t>
      </w:r>
      <w:hyperlink w:history="1" r:id="rIdgm74huk3wqmi9q-xrmy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формируются уполномоченным государственным органом совместно с Социальным фондом и Фондом обязательного медицинского страхования,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бюджетные инвестиции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. В расходную часть республиканского бюджета включаются ассигнования на осуществление бюджетных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 Бюджетные инвестиции направляются на создание и развитие инфраструктуры, инновационной системы, поддержку и развитие социального сектора, отраслей экономики, а также обеспечение реализации институциональных преобразований в секторе государственного управления посредством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осуществление бюджетных инвестиций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Подготовка и представление бюджетных заявок на обслуживание государственного долга, включая, но не ограничиваясь, платежами по основной сумме, процентам и прочим платежам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выплату основной суммы, процентов и прочих платежей по кредитам и займам, полученным от иностранных государств и международных организаций, погашения прочих внешних заимствований (еврооблигации, другие государственные ценные бумаги, выпускаемые и размещаемые на международных рынках капитала), выплату основной суммы и процентов по государственным ценным бумагам, кроме акций, формируются уполномоченным государственным органом, в том числе в автоматизированной системе.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проекта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формирует проект закона о республиканском бюджете, в том числе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Проект закона о республиканском бюджете содержит показатели в соответствии с Бюджетным </w:t>
      </w:r>
      <w:hyperlink w:history="1" r:id="rIdlarrg7xcia5hsov-wso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. В приложениях к проекту закона о республиканском бюджете показатели расходов отражаются в соответствии с Бюджетной классификацией Кыргызской Республики с выделением: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расходов по бюджетным счетам (текущий бюджет);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средствам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ежегодно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 и включает его в проект закона о республиканском бюджете отдельным приложением.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 Параметры бюджета по доходам, расходам, дефициту/профициту бюджета и источникам покрытия дефицита/направления использования профицита формируются по структуре в соответствии с международными стандартами статистики государственных финансов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потоки денежных средств в связи с операционной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официальные трансферты;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выплаты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труда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проценты;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субсидии;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социальные пособия;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чистый приток денежных средств от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потоки денежных средств в связи с вложениями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приобретение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основные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стратегические запасы;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непроизведенные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чистый отток денежных средств в результате вложений в нефинансовые активы;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дефицит/профицит;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потоки денежных средств в связи с операциями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чистое приобретение финансовых активов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чистое принятие обязательств (внутренние, внешние);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чистый приток денежных средств от операций по финансированию;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чистое изменение в запасах денежных средств,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операционной деятельности = доходы/поступления денежных средств от операционной деятельности - расходы/выплаты денежных средств для проведения операционной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отток денежных средств в результате вложений в нефинансовые активы (НФА) = приобретение НФА - продажа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дефицит/профицит денежных средств = чистый приток денежных средств от операционной деятельности - чистый отток денежных средств в результате вложений в НФА;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приток денежных средств от операций по финансированию = чистое принятие обязательств - чистое приобретение 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чистое изменение в запасах денежных средств = профицит/дефицит денежных средств + чистый приток денежных средств от операций по финансированию.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основных параметров республиканского бюджета на очередной бюджетный год и плановый период устанавливается предельный уровень дефицита республиканского бюджета в размере не более 3 процентов к валовому внутреннему продукту.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0fjhofybe0quhbpzit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параметров республиканского бюджета устанавливается предельное соотношение государственного долга к валовому внутреннему продукту в размере не более 70 процентов.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pq3qskfathyqb_r2x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j7gvsvjjfm_umhhlny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Пояснительная записка к проекту закона о республиканском бюджете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. Пояснительная записка к проекту закона о республиканском бюджете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макроэкономические перспективы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доходная часть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расходная часть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дефицит/профицит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риски исполнения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бюджетирование.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. Содержание описательной части каждого раздела и подраздела должно содержать таблицу, отражающую показатели за пять лет: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прошлого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текущий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три прогнозных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. Раздел "Макроэкономические перспективы развития" отражает ключевые макроэкономические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ожидаемые риски воздействия на рост валовой внутренний продукт (далее - ВВП) на три прогнозных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макропоказатели за пятилетний период (факт прошлого года, текущий период и три прогнозных года):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номинальный объем ВВП;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уровень инфляции;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 реального роста ВВП.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 Раздел включает информацию о воздействии макроэкономических допущений (анализ чувствительности) на расходы и доходы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. Раздел "Доходная часть бюджета" состоит из следующих частей: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показатели доходной части за два предшествующих года, на плановый бюджетный год и два последующих года (государственного и республиканского бюджетов), то есть отражается полный объем доходов республиканского бюджета, включая налоговые, неналоговые доходы и полученные официальные трансферты за предыдущий год (фактические данные), текущий год (уточненные данные) и на плановый трехлетний период по годам за предыдущий и плановый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отдельных источников (разовые поступления) поступлений республиканского бюджета в текущем году и прогнозируемом периоде;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 неисполнения прогнозных показателей в планируемом бюджетном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. Каждый параметр на плановый период отражает соотношение к соответствующему номинальному объему ВВП, а также рост или уменьшение показателей относительно предыдущего периода и включает информацию по оценке степени воздействия политики исполнительной власти на ресурсы республиканского бюджета в прогнозируемом бюджетном году, 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. Раздел "Расходная часть бюджета" разделен по принципу распределения расходов по функциональной и/или ведомственной классификации. Уполномоченный государственный орган составляет сводные пояснительные записки по курируемым ГРБС в разрезе функциональной и/или ведомственной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. Каждый параметр на плановый период отражает соотношение показателей к соответствующему номинальному объему ВВП, а также рост или уменьшение относительно предыдущего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. Информация по расходной части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объем расходов республиканского бюджета за предыдущий год (фактические данные), за текущий год (утвержденные/уточненные данные) и на плановый трехлетний период по годам (далее - пятилетний период) в разрезе функциональной и/или ведомственной классификации;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расходах, направленных на обслуживание государственного долга Кыргызской Республики (с представлением динамики расходов за пятилетний период в разрезе структурных показателей по внешнему и внутреннему долгу);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задолженности государственных предприятий (в том числе энергетического сектора) перед республиканским бюджетом, сведения по существующим задолженностям государственных предприятий по 50-процентному отчислению от чистой прибыли и по бюджетным кредитам;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доходов/расходов местных бюджетов за пятилетний период, информация об объемах выравнивающих трансфертов и данные о выпадающих доходах местных бюджетов и их компенсации;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объемы расходов по общегосударственным расходам: государственные программы, мероприятия и выплаты на планируемый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объемы бюджетных инвестиций с аналитикой за пятилетний период: капитальные вложения, стимулирующие гранты и государственные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. Раздел "Дефицит/профицит бюджета" состоит из показателя на соответствующий плановый период, а также источников финансирования дефицита/направления использования профицита бюджета. Показатель должен отражать соотношение к соответствующему номинальному объему ВВП, а также рост или уменьшение относительно предыдущего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. Раздел "Риски исполнения бюджета" отражает все ожидаемые риски в соответствующем периоде исполнения бюджета по каждому составляющему разделу республиканского бюджета (макроэкономические перспективы развития, доходная и расходная части бюджета). Описание рисков по каждому разделу должно содержать краткий анализ в качестве обоснования для выявленных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. 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 и содержит информацию о планируемых мерах на предстоящие периоды.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. Перечень показателей для формирования пояснительной записки к проекту закона о республиканском бюджете составляется по форме согласно </w:t>
      </w:r>
      <w:hyperlink w:history="1" r:id="rIdaasxl2kk8rsleopfvv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Внесение изменений в закон о республиканском бюджете на очередной бюджетный год и плановый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Республики, если это не приведет к изменениям бюджетных параметров, утвержденных законом о республиканском бюджете, имеет право вносить: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закону о республиканском бюджете в пределах предусмотренных сумм, если это не приведет к уменьшению доходной части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при необходимости изменения основных параметров республиканского бюджета до внесения изменений в него, осуществляет данные изменения в соответствии с решениями Кабинета Министров Кыргызской Республики по согласованию с профильным комитетом Жогорку Кенеша Кыргызской Республики, в ведение которого входят вопросы бюджетного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между сессиями Жогорку Кенеша Кыргызской Республики и работы депутатов с избирателями Кабинет Министров Кыргызской Республики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Кыргызской Республики, в ведение которого входят вопросы бюджетного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. В закон о республиканском бюджете вносятся изменения в случаях и с периодичностью, установленных </w:t>
      </w:r>
      <w:hyperlink w:history="1" r:id="rIda1qaetrkd440pw2c1l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. Внесение изменений в республиканский бюджет осуществляется на основе результатов анализа исполнения бюджета и оценки эффективности использования бюджетных ассигнований, реализации бюджетных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. Проект закона о внесении изменений в закон о республиканском бюджете формируется уполномоченным государственным органом, в том числе в автоматизированной системе.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. Изменения и дополнения вносятся в параметры республиканского бюджета текущего года без изменения параметров республиканского бюджета на последующий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Перераспределение бюджетных средств в процессе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бюджетных средств бюджетов бюджетной системы осуществляется в пределах общих бюджетных ассигнований по ведомственной, экономической, функциональной и программной классификации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бюджетных средств бюджетов бюджетной системы осуществляется в следующих видах: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внутриведомственное перераспределение;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межведомственное перераспределение в рамках республиканского бюджета (далее - межведомственное перераспределение).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. Внутриведомственное перераспределение осуществляется в пределах бюджетных ассигнований одного ГРБС/РБС/ПБС между статьями экономической классификации (включая финансовые активы), ведомственной классификации, разделами функциональной классификации и бюджетными программами.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. ГРБС выявляет необходимость внутриведомственного перераспределения на основе одного или нескольких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освоения предусмотренных бюджетных ассигнований;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необходимость оперативного финансирования мероприятий, ранее не предусмотренных в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приоритетов государственной политики, фактических и прогнозируемых отклонений в ходе исполнения бюджета по отдельным статьям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необходимость перераспределения средств между подведомственными учреждениями для обеспечения непрерывности оказания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поступление обращений от подведомственных организаций о нехватке средств на первоочередные бюджетные обязательства (заработная плата, коммунальные услуги, питание, медикаменты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внешние факторы (чрезвычайные ситуации, изменение нормативных правовых актов и др.), требующие оперативной корректировки распределения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Внутриведомственное перераспределение по республиканскому бюджету производится по согласованию с уполномоченным государственным органом, которому представляется обоснование такого перераспределения.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. Отчет ГРБС о внутриведомственном перераспределении и результатах такого перераспределения представляется в уполномоченный государственный орган в виде справки-уведомления на внесение изменений в бюджет/перераспределение бюджетных средств по формам согласно приложениям </w:t>
      </w:r>
      <w:hyperlink w:history="1" r:id="rId6yq3kuw7prom1bfxh6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v0f4lckcscwf7ucyt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исключительно в автоматизированной системе с использованием ЦП в день проведения перераспределения бюджетных средств. Не допускается запрос/представление справок-уведомлений на внесение изменений в бюджет/перераспределение бюджетных средств на бумажных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. Межведомственное перераспределение осуществляется между ГРБС, включая перераспределение средств, предусмотренных по разделу "Общегосударственные программы, мероприятия и выплаты" на финансирование расходов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. Межведомственное перераспределение осуществляется по решению Кабинета Министров Кыргызской Республики по согласованию с ГРБС, средства которого подлежат перераспределению другому ГРБС.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. После принятия решения Кабинета Министров Кыргызской Республики о межведомственном перераспределении осуществляются следующие мероприятия в порядке очередности: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ГРБС, средства, которого перераспределяются, вносит в автоматизированную систему справку-уведомление о внесении изменений в бюджет/перераспределение бюджетных средств с использованием ЦП с указанием соответствующих сумм, указанных в решении Кабинета Министров Кыргызской Республики со знаком "минус";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ГРБС, которому перераспределяются средства, вносит в автоматизированную систему справку-уведомление о внесении изменений в бюджет/перераспределение бюджетных средств с использованием ЦП с указанием соответствующих сумм, указанных в решении Кабинета Министров Кыргызской Республики со знаком "плюс";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рассматривает указанные в подпунктах 1 и 2 настоящего пункта справки-уведомления на соответствие решению Кабинета Министров Кыргызской Республики и подтверждает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. После подтверждения в автоматизированной системе уполномоченным государственным органом справок-уведомлений, указанных в подпунктах 1 и 2 </w:t>
      </w:r>
      <w:hyperlink w:history="1" r:id="rIdkhn9njsd71e2edzjoc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94</w:t>
        </w:r>
      </w:hyperlink>
      <w:r>
        <w:rPr>
          <w:rFonts w:ascii="Arial" w:cs="Arial" w:eastAsia="Arial" w:hAnsi="Arial"/>
          <w:sz w:val="24"/>
          <w:szCs w:val="24"/>
        </w:rPr>
        <w:t xml:space="preserve">, ГРБС вправе использовать перераспределенные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вправе перераспределять высвободившиеся бюджетные средства, ранее внесенные ГРБС/РБС/ПБС посредством справок-уведомлений о внесении изменений в бюджет/перераспределение бюджетных средств с использованием ЦП в автоматизированную систему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оптимизации других категорий расходов, в том числе средств, предусмотренных в разделе "Общегосударственные программы, мероприятия и выплаты";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экономии по расходам республиканского бюджета, установленной на основе анализа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экономии по расходам в связи с зачетом сверхнормативных запасов товарно-материальных ценностей и остатков средств в расчетах по годовым отчетам при финансировании бюджетных учреждений, результатам аудита Счетной палаты Кыргызской Республики об итогах исполнения республиканского бюджета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. Перераспределение в соответствии с </w:t>
      </w:r>
      <w:hyperlink w:history="1" r:id="rIdqhvi0qqpd2_-od4_3d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осуществляется согласно решениям Кабинета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Перераспределение средств местных бюджетов в процессе их исполнения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. В процессе исполнения местных бюджетов допускается перераспределение бюджетных средств в пределах общих бюджетных ассигнований.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перераспределяются согласно порядку, определенному соответствующим местным кенешем.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Дополнительное финансирование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республиканского бюджета (далее - дополнительные расходы) - это расходы республиканского бюджета, ранее не предусмотренные в законе о республиканском бюджете, и выделение которых приводит к изменению основных параметров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финансируются за счет дополнительных источников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. Дополнительными источниками республиканского бюджета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остатки бюджетных средств, образовавшиеся на начало бюджетного года в результате перевыполнения плана доходов или экономии по расходам в предыдущем бюджетном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ранее непредусмотренные в законе о республиканском бюджете дополнительные поступления в ресурсную часть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высвободившиеся ресурсы республиканского бюджета, предусмотренные в законе о республиканском бюджете в случае дополнительных поступлений, направленных в соответствии с решениями Кабинета Министров Кыргызской Республики и нормативных правовых актов на финансирование конкретных расходов, ранее предусмотренных в законе о республиканском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экономия по расходам республиканского бюджета, ранее не направленная на перераспределение, а также в случае, если сумма экономии не покрывает сумму необходимую для перераспределения.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. Для покрытия отдельного вида дополнительного расхода могут использоваться комбинация из нескольких источников, указанных в </w:t>
      </w:r>
      <w:hyperlink w:history="1" r:id="rId4ltrxyccsbk-6egsga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. Дополнительные источники республиканского бюджета могут направляться на покрытие разрыва между ресурсами и общими расходами.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. ГРБС/РБС представляют в уполномоченный государственный орган соответствующие расчеты на дополнительные расходы в разрезе экономической классификации, в том числе на увеличение размеров фонда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. Дополнительные расходы в соответствии с нормативными правовыми актами и распоряжениями Кабинета Министров Кыргызской Республики распределяются в виде справки-уведомления о внесении изменений в бюджет/перераспределение бюджетных средств в автоматизированной системе с использованием ЦП.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целях финансирования дополнительных расходов до внесения изменений в закон о республиканском бюджете готовит дополнительный реестр расходов республиканского бюджета на текущий год (далее - дополнительный реестр).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. Дополнительный реестр включает дополнительные расходы, предусмотренные до внесения изменений в закон о республиканском бюджете в соответствии с решениями Кабинета Министров Кыргызской Республики, нормативными актами, а также решениями профильного комитета Жогорку Кенеша Кыргызской Республики по форме согласно </w:t>
      </w:r>
      <w:hyperlink w:history="1" r:id="rIdf_yab3go4l6rx2sitg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участников бюджетного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. Руководители ГРБС/РБС/ПБС несут ответственность за качественное планирование и целевое использование средств на бюджетных счетах и специальных счетах.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. Принцип ответственности участников бюджетного процесса за нарушение бюджетного законодательства предусмотрен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. Контроль и мониторинг соблюдения финансовой дисциплины государственными органами предусмотрены бюджетным законодательством Кыргызской Республики и другими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по бюджетным средствам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
 (5 знаков)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расходов по бюджетным средствам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
 __________________________________________________________________
 (наименование получателя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(16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доходов и расходов по учету средств на специальных счетах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СМЕТА
 доходов и расходов по учету средств на специальных счетах № 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главного распорядителя бюджетных средств)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получателя бюджетных средств)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лицевого счета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(16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ведомственной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функциональной классификации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
 (5 знаков)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ТУМФ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5"/>
        <w:gridCol w:w="5293"/>
        <w:gridCol w:w="490"/>
      </w:tblGrid>
      <w:tr>
        <w:tc>
          <w:tcPr>
            <w:tcW w:type="dxa" w:w="4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экономической/программной классификации</w:t>
            </w:r>
          </w:p>
        </w:tc>
        <w:tc>
          <w:tcPr>
            <w:tcW w:type="dxa" w:w="5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экономической/программной классификации</w:t>
            </w:r>
          </w:p>
        </w:tc>
        <w:tc>
          <w:tcPr>
            <w:tcW w:type="dxa" w:w="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экономической классификации по доходам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расходов: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государственного/муниципального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 20___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 годовым фондом оплаты труда
 _____________________ тыс. сомов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государственного/муниципального органа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506"/>
        <w:gridCol w:w="440"/>
        <w:gridCol w:w="489"/>
        <w:gridCol w:w="473"/>
        <w:gridCol w:w="489"/>
        <w:gridCol w:w="310"/>
        <w:gridCol w:w="228"/>
        <w:gridCol w:w="228"/>
        <w:gridCol w:w="359"/>
        <w:gridCol w:w="326"/>
        <w:gridCol w:w="326"/>
        <w:gridCol w:w="196"/>
        <w:gridCol w:w="196"/>
        <w:gridCol w:w="188"/>
        <w:gridCol w:w="188"/>
        <w:gridCol w:w="343"/>
        <w:gridCol w:w="408"/>
        <w:gridCol w:w="237"/>
        <w:gridCol w:w="237"/>
        <w:gridCol w:w="408"/>
        <w:gridCol w:w="391"/>
        <w:gridCol w:w="489"/>
        <w:gridCol w:w="408"/>
        <w:gridCol w:w="318"/>
        <w:gridCol w:w="318"/>
        <w:gridCol w:w="408"/>
        <w:gridCol w:w="424"/>
        <w:gridCol w:w="310"/>
        <w:gridCol w:w="408"/>
      </w:tblGrid>
      <w:tr>
        <w:tc>
          <w:tcPr>
            <w:tcW w:type="dxa" w:w="1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2-месячной заработной платы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Сводное штатное расписание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государственного/муниципального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"/>
        <w:gridCol w:w="620"/>
        <w:gridCol w:w="440"/>
        <w:gridCol w:w="473"/>
        <w:gridCol w:w="473"/>
        <w:gridCol w:w="473"/>
        <w:gridCol w:w="310"/>
        <w:gridCol w:w="228"/>
        <w:gridCol w:w="228"/>
        <w:gridCol w:w="343"/>
        <w:gridCol w:w="326"/>
        <w:gridCol w:w="326"/>
        <w:gridCol w:w="188"/>
        <w:gridCol w:w="188"/>
        <w:gridCol w:w="343"/>
        <w:gridCol w:w="391"/>
        <w:gridCol w:w="237"/>
        <w:gridCol w:w="237"/>
        <w:gridCol w:w="408"/>
        <w:gridCol w:w="408"/>
        <w:gridCol w:w="375"/>
        <w:gridCol w:w="489"/>
        <w:gridCol w:w="391"/>
        <w:gridCol w:w="310"/>
        <w:gridCol w:w="310"/>
        <w:gridCol w:w="408"/>
        <w:gridCol w:w="424"/>
        <w:gridCol w:w="310"/>
        <w:gridCol w:w="391"/>
      </w:tblGrid>
      <w:tr>
        <w:tc>
          <w:tcPr>
            <w:tcW w:type="dxa" w:w="1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на оздоровление в размере 2- месячной заработной платы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Отчисления в Соцфонд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категории госслужащих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учреждений, финансируемых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4"/>
        <w:gridCol w:w="652"/>
        <w:gridCol w:w="669"/>
        <w:gridCol w:w="555"/>
        <w:gridCol w:w="1609"/>
        <w:gridCol w:w="1609"/>
        <w:gridCol w:w="1609"/>
      </w:tblGrid>
      <w:tr>
        <w:tc>
          <w:tcPr>
            <w:tcW w:type="dxa" w:w="34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министерству/административному ведомству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ведомственной классификации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заработной платы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Министерства здравоохранения Кыргызской Республики и ФОМС,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3"/>
        <w:gridCol w:w="637"/>
        <w:gridCol w:w="637"/>
        <w:gridCol w:w="539"/>
        <w:gridCol w:w="1574"/>
        <w:gridCol w:w="1574"/>
        <w:gridCol w:w="1574"/>
      </w:tblGrid>
      <w:tr>
        <w:tc>
          <w:tcPr>
            <w:tcW w:type="dxa" w:w="3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Поликлиники, диспансеры (без коек) и амбулатории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Фельдшерско-акушерские пункты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и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семейной медицины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семенных врачей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Приписное население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поликлиники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Диагностические центры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поликлиники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больницы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больницы широкого профиля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Психоневрологические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Онкологические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Туберкулезные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Кожно-венерологические больницы (диспансеры)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Инфекционные больницы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 и родильных домов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Родильные дома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санаториев и домов для выздоравливающих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больных туберкулезом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Санатории для детей и подростков (нетуберкулезных)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медицинской помощи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переливания крови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Санитарно-эпидемиологические и центры карантинных и опасных инфекций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Дезинфекционные станции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 ребенка, комнаты матери и ребенка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по борьбе со СПИД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Центры здоровья и мероприятия по санитарному просвещению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Штатные единицы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должности (ставки), включая главные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медицинский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Пролеченный случай (в ед.)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Койко-дни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СЕТЬ, ШТАТЫ И КОНТИНГЕНТЫ
 учреждений образования, финансируемые из республиканского и местных бюджетов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9"/>
        <w:gridCol w:w="652"/>
        <w:gridCol w:w="669"/>
        <w:gridCol w:w="571"/>
        <w:gridCol w:w="1626"/>
        <w:gridCol w:w="1626"/>
        <w:gridCol w:w="1626"/>
      </w:tblGrid>
      <w:tr>
        <w:tc>
          <w:tcPr>
            <w:tcW w:type="dxa" w:w="34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Свод по республике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конец года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Среднегодовая численность</w:t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школы: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профессиональные заведения: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заведения, не ведущие к получению диплома: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Высшие учебные заведения: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 по повышению квалификации: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дома: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детские учебные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Детские оздоровительные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учреждения: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профобразование: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учреждения образования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(аппарат образования)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образование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 (основной персонал)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 и ТОП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 комплектов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учреждения (аппарат образования)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основных штатных единиц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муниципальные служащие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обслуживающий персонал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всего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фонд оплаты труда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заработная плата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взносы в Социальный фонд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консолидированного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87"/>
        <w:gridCol w:w="998"/>
        <w:gridCol w:w="998"/>
        <w:gridCol w:w="998"/>
        <w:gridCol w:w="998"/>
        <w:gridCol w:w="998"/>
      </w:tblGrid>
      <w:tr>
        <w:tc>
          <w:tcPr>
            <w:tcW w:type="dxa" w:w="5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 и остатки на начало года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доходы и гранты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грантов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(включая ГИ)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5"/>
        <w:gridCol w:w="4388"/>
        <w:gridCol w:w="1060"/>
        <w:gridCol w:w="1060"/>
        <w:gridCol w:w="1060"/>
        <w:gridCol w:w="1060"/>
        <w:gridCol w:w="1060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(с учетом поступлений от операций с нефинансовыми активами)(1)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расходов для осуществления операций с финансовыми активами)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(без учета расходов для осуществления операций с финансовыми активами)(2)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Республиканский бюджет Кыргызской Республики на ______ год и плановый период ______ годов (доходы)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4045"/>
        <w:gridCol w:w="1109"/>
        <w:gridCol w:w="1109"/>
        <w:gridCol w:w="1109"/>
        <w:gridCol w:w="1109"/>
        <w:gridCol w:w="1109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4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2765"/>
        <w:gridCol w:w="998"/>
        <w:gridCol w:w="982"/>
        <w:gridCol w:w="916"/>
        <w:gridCol w:w="916"/>
        <w:gridCol w:w="916"/>
        <w:gridCol w:w="916"/>
        <w:gridCol w:w="736"/>
        <w:gridCol w:w="736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9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781"/>
        <w:gridCol w:w="1144"/>
        <w:gridCol w:w="1078"/>
        <w:gridCol w:w="1037"/>
        <w:gridCol w:w="1037"/>
        <w:gridCol w:w="1037"/>
        <w:gridCol w:w="1037"/>
        <w:gridCol w:w="850"/>
        <w:gridCol w:w="850"/>
      </w:tblGrid>
      <w:tr>
        <w:tc>
          <w:tcPr>
            <w:tcW w:type="dxa" w:w="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7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"/>
        <w:gridCol w:w="1207"/>
        <w:gridCol w:w="930"/>
        <w:gridCol w:w="930"/>
        <w:gridCol w:w="930"/>
        <w:gridCol w:w="930"/>
        <w:gridCol w:w="440"/>
        <w:gridCol w:w="1040"/>
        <w:gridCol w:w="1040"/>
        <w:gridCol w:w="1040"/>
        <w:gridCol w:w="1040"/>
      </w:tblGrid>
      <w:tr>
        <w:tc>
          <w:tcPr>
            <w:tcW w:type="dxa" w:w="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37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4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______-______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1077"/>
        <w:gridCol w:w="1077"/>
        <w:gridCol w:w="1077"/>
        <w:gridCol w:w="2610"/>
        <w:gridCol w:w="546"/>
        <w:gridCol w:w="546"/>
        <w:gridCol w:w="546"/>
        <w:gridCol w:w="546"/>
        <w:gridCol w:w="538"/>
        <w:gridCol w:w="538"/>
      </w:tblGrid>
      <w:tr>
        <w:tc>
          <w:tcPr>
            <w:tcW w:type="dxa" w:w="430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2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0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1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9"/>
        <w:gridCol w:w="3083"/>
        <w:gridCol w:w="571"/>
        <w:gridCol w:w="571"/>
        <w:gridCol w:w="571"/>
        <w:gridCol w:w="571"/>
        <w:gridCol w:w="571"/>
        <w:gridCol w:w="571"/>
        <w:gridCol w:w="571"/>
      </w:tblGrid>
      <w:tr>
        <w:tc>
          <w:tcPr>
            <w:tcW w:type="dxa" w:w="3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42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875"/>
        <w:gridCol w:w="117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2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2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875"/>
        <w:gridCol w:w="117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2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21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197"/>
        <w:gridCol w:w="1318"/>
        <w:gridCol w:w="1318"/>
        <w:gridCol w:w="1318"/>
        <w:gridCol w:w="1318"/>
        <w:gridCol w:w="1318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5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3055"/>
        <w:gridCol w:w="1353"/>
        <w:gridCol w:w="1353"/>
        <w:gridCol w:w="1353"/>
        <w:gridCol w:w="1353"/>
        <w:gridCol w:w="135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91"/>
        <w:gridCol w:w="489"/>
        <w:gridCol w:w="2300"/>
        <w:gridCol w:w="1000"/>
        <w:gridCol w:w="1000"/>
        <w:gridCol w:w="1000"/>
        <w:gridCol w:w="1370"/>
        <w:gridCol w:w="424"/>
        <w:gridCol w:w="582"/>
        <w:gridCol w:w="582"/>
        <w:gridCol w:w="582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ЦУР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ПП</w:t>
            </w:r>
          </w:p>
        </w:tc>
        <w:tc>
          <w:tcPr>
            <w:tcW w:type="dxa" w:w="2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подпрограммы</w:t>
            </w:r>
          </w:p>
        </w:tc>
        <w:tc>
          <w:tcPr>
            <w:tcW w:type="dxa" w:w="30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программам/подпрограммам)
 (тыс. сомов)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результативности</w:t>
            </w:r>
          </w:p>
        </w:tc>
        <w:tc>
          <w:tcPr>
            <w:tcW w:type="dxa" w:w="4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7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подпрограммы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Годы Х+1, Х+2,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подпрограммы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показателей для формирования пояснительной записки по проекту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7838"/>
        <w:gridCol w:w="1620"/>
        <w:gridCol w:w="491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Макроэкономические перспективы развития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прогноз, включающий: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ожидаемые риски воздействия на рост ВВП на прогнозные три года;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основные макропоказатели за пятилетний период (факт прошлого года, текущий период и три прогнозных года):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инфляции;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реального ВВП;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другие;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анализ структуры производства ВВП на прогнозируемые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Воздействие макроэкономических допущений (анализ чувствительности) на расходы и доходы бюджета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Доходная часть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степени воздействия политики исполнительной власти на ресурсы республиканского бюджета в прогнозируемом бюджетном году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упущенных доходах вследствие предоставления новых налоговых преференций с описанием целей и обоснованием политики в отношении каждой налоговой льготы, предполагаемых бенефициаров и оценкой упущенного дохода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ГАУГИ, ГНС, ГТС, МЭ, МПРЭТН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объем ресурсов и расходов консолидированного бюджета сектора государственного управления за два предшествующих года, на прогнозируемый бюджетный год и два последующих года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апреля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подоходной части бюджета,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ГНС, ГТС, МЭ, МПРЭТН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ресурсов республиканского бюджета, в том числе налоговые, неналоговые доходы и полученные официальные трансферты, а также их краткий анализ за предыдущий год (фактические данные), текущий год (уточненные данные) и на прогнозируемый трехлетний период по годам за предыдущий и прогнозируемый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отдельных источников поступлений (разовые поступления) республиканского бюджета в текущем году и прогнозируемом периоде;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риски по исполнению прогнозных показателей в планируемом году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Расходная часть бюджета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расходной части,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полный объем расходов республиканского бюджета за предыдущий год (фактические данные), текущий год (уточненные данные) и на прогнозируемый трехлетний период по годам (далее пятилетний период) в разрезе функциональной и/или ведомственной классификации;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расходы, направленные на обслуживание государственного долга Кыргызской Республики (с представлением динамики расходов за пятилетний период в разрезе структурных показателей по внешнему и внутреннему долгу);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доходов/расходов местных бюджетов за пятилетний период, информация по объемам выравнивающих трансфертов и данные по выпадениям доходов местных бюджетов и их компенсация;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расходов по общегосударственным расходам: государственные программы, мероприятия и выплаты на планируемый период;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бюджетных инвестиций с аналитикой за пятилетний период: капитальные вложения, стимулирующие гранты и государственные инвестиции;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воздействия проводимой бюджетной политики на различные группы населения по трем альтернативным отображениям (пожилые, дети, лица с ограниченными возможностями здоровья, географическое месторасположение);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СФ, МЗ, ФОМС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оценку государственной политики, направленной на поддержку бедных слоев населения, с пояснительным описанием;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целях и обоснование политики по государственным программам страхования;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ФОМС, Госфиннадзор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кредиторской и дебиторской задолженности главных распорядителей бюджетных средств, а также данные о задолженности по софинансированию проектов ГИ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межбюджетных трансфертов за бюджетный год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всех трансфертов (кредиты, гранты, субсидии, ссуды) государственным предприятиям на бюджетный год;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квазифискальной деятельности государства, включая информацию о целях данной деятельности и предполагаемых бенефициарах (предоставление государственных услуг по сниженным тарифам, компенсация за электроэнергию, субсидирование процентных ставок, задолженность государственных предприятий бюджету);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ФКФ, МЭ, ГП "Кыргызжилкоммунсоюз", ДРТЭК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вводимых нефинансовых активах вследствие использования государственных ресурсов по всем административным единицам (например, изменение количества детских садов);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ГП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задолженности государственных предприятий бюджету;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бюджетных кредитах, субсидиях государственным предприятиям из бюджета;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списании и реструктуризации бюджетных кредитов государственным предприятиям;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погашении обязательств по бюджетным кредитам государственными предприятиями;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достигнутых результатах вследствие изменения нефинансовых активов (например, увеличение охвата дошкольным образованием вследствие увеличения дошкольных учреждений);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программам государственного страхования;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целей и обоснование политики по предоставляемым государственным гарантиям по кредитам;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финансовой помощи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всех источников донорской помощи, составляющих государственные инвестиции, в натуральной форме с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бюджетных резервах с пояснительным описанием (государственный бюджетный резерв, резервные фонды Президента, Председателя Кабинета Министров, Торага Жогорку Кенеша, резервные фонды местных бюджетов);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влияния новых политических предложений на доходную и расходную часть республиканского бюджета на бюджетный год и два последующих года с кратким пояснительным описанием;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степени воздействия политики исполнительной власти на расходы республиканского бюджета в прогнозируемом бюджетном году (это новое направление госполитики, например, ипотечное кредитование, которое влияет на госрасходы, или принятие кодекса о проступках, и ее влияние на поступления/расходы бюджета или проводимая тарифная политика государства);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взаимосвязи республиканского бюджета с политическими целями Кабинета Министров Кыргызской Республики на прогнозный период;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планируемых мерах по реформе системы управления государственными финансами;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2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государственном долге, включая: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текущее состояние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выпуска государственных ценных бумаг;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бюджета на обслуживание государственного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(аналитика, проценты, основная сумма, динамика обслуживания, валютная структура);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 (проценты, основная сумма, динамика обслуживания);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сравнительный анализ внешнего и внутреннего долга;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чувствительности расходов на обслуживание государственного долга, связанные с изменением обменного курса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Дефицит/профицит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"Дефицит/профицит бюджета" состоит из показателя на соответствующий прогнозируемый период, а также источников финансирования дефицита бюджета/направлений использования профицита бюджета в разбивке на внешнее и внутренне финансирование. Показатель должен отражать соотношение к соответствующему номинальному ВВП, а также рост или уменьшение относительно предыдущего периода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1 августа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Риски исполнения бюджета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"Риски исполнения бюджета" отражает все ожидаемые риски на соответствующий период исполнения бюджета по каждому составляющему разделу республиканского бюджета согласно разделам "Макроэкономические перспективы развития", "Доходная и расходная" части бюджета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Программное бюджетирование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"Программное бюджетирование" в рамках программ/стратегий развития Кыргызской Республики отражает процесс внедрения программного бюджетирования, а также информацию о планируемых мерах на предстоящие периоды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
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(Основание внесения изменений)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7"/>
        <w:gridCol w:w="3670"/>
        <w:gridCol w:w="2822"/>
        <w:gridCol w:w="1859"/>
      </w:tblGrid>
      <w:tr>
        <w:tc>
          <w:tcPr>
            <w:tcW w:type="dxa" w:w="1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3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(5 знаков)/код экономической (4 знака)/программной (5 знаков) классификации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
 к справке-уведомлению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Наименование главного распорядителя бюджетных средств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011"/>
        <w:gridCol w:w="1729"/>
        <w:gridCol w:w="2300"/>
        <w:gridCol w:w="2349"/>
        <w:gridCol w:w="1664"/>
      </w:tblGrid>
      <w:tr>
        <w:tc>
          <w:tcPr>
            <w:tcW w:type="dxa" w:w="1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
 (5 знаков)</w:t>
            </w:r>
          </w:p>
        </w:tc>
        <w:tc>
          <w:tcPr>
            <w:tcW w:type="dxa" w:w="23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(4 знака)/программной (5 знаков) классификации</w:t>
            </w:r>
          </w:p>
        </w:tc>
        <w:tc>
          <w:tcPr>
            <w:tcW w:type="dxa" w:w="23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
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(Основание внесения изменений)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4"/>
        <w:gridCol w:w="3778"/>
        <w:gridCol w:w="2671"/>
        <w:gridCol w:w="1905"/>
      </w:tblGrid>
      <w:tr>
        <w:tc>
          <w:tcPr>
            <w:tcW w:type="dxa" w:w="1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
 (5 знаков)</w:t>
            </w:r>
          </w:p>
        </w:tc>
        <w:tc>
          <w:tcPr>
            <w:tcW w:type="dxa" w:w="3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(5 знаков)/код экономической (4 знака)/программной (5 знаков) классификации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 ____ на внесение изменений в бюджет/перераспределение бюджетных средств № ____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Наименование главного распорядителя бюджетных средств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913"/>
        <w:gridCol w:w="1745"/>
        <w:gridCol w:w="2365"/>
        <w:gridCol w:w="2332"/>
        <w:gridCol w:w="1696"/>
      </w:tblGrid>
      <w:tr>
        <w:tc>
          <w:tcPr>
            <w:tcW w:type="dxa" w:w="11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лицевого счета
 (16 знаков)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функциональной, классификации
 (5 знаков)</w:t>
            </w:r>
          </w:p>
        </w:tc>
        <w:tc>
          <w:tcPr>
            <w:tcW w:type="dxa" w:w="2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(4 знака)/программной (5 знаков) классификации</w:t>
            </w:r>
          </w:p>
        </w:tc>
        <w:tc>
          <w:tcPr>
            <w:tcW w:type="dxa" w:w="2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ГРБС/экономической/программной классификации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поправок/
 увеличение (+), уменьшение (-)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54"/>
        <w:gridCol w:w="1489"/>
        <w:gridCol w:w="1702"/>
        <w:gridCol w:w="1407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rpxu9ptjd5jkmy4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dalil.kg/document/230043256</w:t>
      </w:r>
    </w:hyperlink>
  </w:p>
  <w:p>
    <w:pPr>
      <w:spacing w:after="0" w:before="40"/>
      <w:jc w:val="center"/>
    </w:pPr>
    <w:hyperlink w:history="1" r:id="rId_vfxpzvsi0dspintap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2hhpkmx0qzyiup-zcj" Type="http://schemas.openxmlformats.org/officeDocument/2006/relationships/hyperlink" Target="https://dalil.kg/document/230043253" TargetMode="External"/><Relationship Id="rIdwnxlinypnstq2vw84ejcz" Type="http://schemas.openxmlformats.org/officeDocument/2006/relationships/hyperlink" Target="https://dalil.kg/document/230043624" TargetMode="External"/><Relationship Id="rIdq4ezl5udzc83ugjmjuuo8" Type="http://schemas.openxmlformats.org/officeDocument/2006/relationships/hyperlink" Target="https://dalil.kg/document/111338" TargetMode="External"/><Relationship Id="rIdtvd61kznlny1chjz0e53o" Type="http://schemas.openxmlformats.org/officeDocument/2006/relationships/hyperlink" Target="https://dalil.kg/document/230043256#pr1" TargetMode="External"/><Relationship Id="rId3goojpmd1cdntjkfkhupx" Type="http://schemas.openxmlformats.org/officeDocument/2006/relationships/hyperlink" Target="https://dalil.kg/document/230043256#pr4" TargetMode="External"/><Relationship Id="rIdt9wblmanwbufoj9wvdsen" Type="http://schemas.openxmlformats.org/officeDocument/2006/relationships/hyperlink" Target="https://dalil.kg/document/111338#st_89" TargetMode="External"/><Relationship Id="rIdjlimihupebldifsgu9e96" Type="http://schemas.openxmlformats.org/officeDocument/2006/relationships/hyperlink" Target="https://dalil.kg/document/230043256#pr5" TargetMode="External"/><Relationship Id="rIdqxorxlyxiefttgzz3epji" Type="http://schemas.openxmlformats.org/officeDocument/2006/relationships/hyperlink" Target="https://dalil.kg/document/230043256#pr6" TargetMode="External"/><Relationship Id="rId4bwoppcdk7nd_eaqihtot" Type="http://schemas.openxmlformats.org/officeDocument/2006/relationships/hyperlink" Target="https://dalil.kg/document/230043256#pr7" TargetMode="External"/><Relationship Id="rIdd6ppq1u_rzyemfbhp8pzi" Type="http://schemas.openxmlformats.org/officeDocument/2006/relationships/hyperlink" Target="https://dalil.kg/document/230043256#pr9" TargetMode="External"/><Relationship Id="rIdoxcmqo3wszb8a_l17com1" Type="http://schemas.openxmlformats.org/officeDocument/2006/relationships/hyperlink" Target="https://dalil.kg/document/111338" TargetMode="External"/><Relationship Id="rIdwdw-xczxazgxwvn5rned0" Type="http://schemas.openxmlformats.org/officeDocument/2006/relationships/hyperlink" Target="https://dalil.kg/document/230043256#p34" TargetMode="External"/><Relationship Id="rIdymmwyc1kirdhizgwarmqb" Type="http://schemas.openxmlformats.org/officeDocument/2006/relationships/hyperlink" Target="https://dalil.kg/document/111338#st_43_2" TargetMode="External"/><Relationship Id="rIdgk6lfyvrtvti7r3pbmbio" Type="http://schemas.openxmlformats.org/officeDocument/2006/relationships/hyperlink" Target="https://dalil.kg/document/111338" TargetMode="External"/><Relationship Id="rIdgm74huk3wqmi9q-xrmy_h" Type="http://schemas.openxmlformats.org/officeDocument/2006/relationships/hyperlink" Target="https://dalil.kg/document/111338" TargetMode="External"/><Relationship Id="rIdlarrg7xcia5hsov-wsoa5" Type="http://schemas.openxmlformats.org/officeDocument/2006/relationships/hyperlink" Target="https://dalil.kg/document/111338" TargetMode="External"/><Relationship Id="rIdj0fjhofybe0quhbpzitm7" Type="http://schemas.openxmlformats.org/officeDocument/2006/relationships/hyperlink" Target="https://dalil.kg/document/230043624" TargetMode="External"/><Relationship Id="rIdlepq3qskfathyqb_r2x0p" Type="http://schemas.openxmlformats.org/officeDocument/2006/relationships/hyperlink" Target="https://dalil.kg/document/230043624" TargetMode="External"/><Relationship Id="rIdj7gvsvjjfm_umhhlnyzta" Type="http://schemas.openxmlformats.org/officeDocument/2006/relationships/hyperlink" Target="https://dalil.kg/document/230043256#pr10" TargetMode="External"/><Relationship Id="rIdaasxl2kk8rsleopfvvthk" Type="http://schemas.openxmlformats.org/officeDocument/2006/relationships/hyperlink" Target="https://dalil.kg/document/230043256#pr11" TargetMode="External"/><Relationship Id="rIda1qaetrkd440pw2c1lmsv" Type="http://schemas.openxmlformats.org/officeDocument/2006/relationships/hyperlink" Target="https://dalil.kg/document/111338#st_115" TargetMode="External"/><Relationship Id="rId6yq3kuw7prom1bfxh6f6f" Type="http://schemas.openxmlformats.org/officeDocument/2006/relationships/hyperlink" Target="https://dalil.kg/document/230043256#pr12" TargetMode="External"/><Relationship Id="rIdwv0f4lckcscwf7ucyt1tb" Type="http://schemas.openxmlformats.org/officeDocument/2006/relationships/hyperlink" Target="https://dalil.kg/document/230043256#pr15" TargetMode="External"/><Relationship Id="rIdkhn9njsd71e2edzjocfus" Type="http://schemas.openxmlformats.org/officeDocument/2006/relationships/hyperlink" Target="https://dalil.kg/document/230043256#p94" TargetMode="External"/><Relationship Id="rIdqhvi0qqpd2_-od4_3dmm0" Type="http://schemas.openxmlformats.org/officeDocument/2006/relationships/hyperlink" Target="https://dalil.kg/document/230043256#p96" TargetMode="External"/><Relationship Id="rId4ltrxyccsbk-6egsgaubh" Type="http://schemas.openxmlformats.org/officeDocument/2006/relationships/hyperlink" Target="https://dalil.kg/document/230043256#p101" TargetMode="External"/><Relationship Id="rIdf_yab3go4l6rx2sitgbpt" Type="http://schemas.openxmlformats.org/officeDocument/2006/relationships/hyperlink" Target="https://dalil.kg/document/230043256#pr1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rpxu9ptjd5jkmy4sea" Type="http://schemas.openxmlformats.org/officeDocument/2006/relationships/hyperlink" Target="https://dalil.kg/document/230043256" TargetMode="External"/><Relationship Id="rId_vfxpzvsi0dspintapi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2026-09-25T13:55:57.786Z</dcterms:created>
  <dcterms:modified xsi:type="dcterms:W3CDTF">2026-09-25T13:55:57.786Z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