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 РАСЧЕТА ВЫБРОСОВ ЗАГРЯЗНЯЮЩИХ ВЕЩЕСТВ ПРИ ПРОИЗВОДСТВЕ МЕБЕЛИ, ФАНЕРЫ И ДРЕВЕСНО-СТРУЖЕЧНЫХ ПЛИТ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Характерными выделениями загрязняющих веществ при производстве мебели, фанеры, древесно-стружечных плит являются: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механической обработке древесины и древесно-стружечных плит – опилки, пыль, формальдегид;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фанеровании древесных щитов – формальдегид, фенол, аммиак;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пенополиуретановых изделий – гексаметилендиамин, оксид этилена, оксид углерода;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изготовлении и отделке пленки – формальдегид, ароматические углеводороды, эфиры, спирты;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горячем прессовании – формальдегид, фенол, аммиак;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основном производстве плит – формальдегид, аммиак, пыль.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пыли, образующейся при обработке древесины на деревообрабатывающих и шлифовальных станках (т/год), определяется по формуле:</w:t>
      </w:r>
    </w:p>
    <w:p>
      <w:pPr>
        <w:spacing w:after="120" w:before="240"/>
        <w:ind w:firstLine="900"/>
        <w:jc w:val="center"/>
      </w:pPr>
      <w:r>
        <w:rPr>
          <w:rFonts w:ascii="Arial" w:cs="Arial" w:eastAsia="Arial" w:hAnsi="Arial"/>
          <w:sz w:val="24"/>
          <w:szCs w:val="24"/>
        </w:rPr>
        <w:t xml:space="preserve">, (1.)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К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– коэффициент эффективности местных отсосов; К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содержание (%) в отходах пыли с размером частиц менее 200 мкм (табл. 1.);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– количество древесных отходов (кг/ч), получаемых при обработке древесины на различных станках (табл. 2.); τ – время работы оборудования (ч).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 (К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%) пыли в отходах при различных технологических процессах обработки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4"/>
        <w:gridCol w:w="2544"/>
        <w:gridCol w:w="2544"/>
        <w:gridCol w:w="2545"/>
      </w:tblGrid>
      <w:tr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Процесс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Кп (%)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Процесс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Кп (%)</w:t>
            </w:r>
          </w:p>
        </w:tc>
      </w:tr>
      <w:tr>
        <w:tc>
          <w:tcPr>
            <w:tcW w:type="dxa" w:w="2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Пиление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2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Фрезерование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технологической щепы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2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Сверление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сухой стружки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2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Строгание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отходов, получаемых при обработке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древесины на различных станках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5"/>
        <w:gridCol w:w="2276"/>
        <w:gridCol w:w="2237"/>
      </w:tblGrid>
      <w:tr>
        <w:tc>
          <w:tcPr>
            <w:tcW w:type="dxa" w:w="5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отходов, кг/ч</w:t>
            </w:r>
          </w:p>
        </w:tc>
        <w:tc>
          <w:tcPr>
            <w:tcW w:type="dxa" w:w="2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пыли с размером частиц менее 200 мкм (%)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Круглопильные станки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Прирезной ПДК-4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Деляно-реечный ЦА-2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многопильный ЦМР-1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Торцовочный ЦМЭ-2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Концеравнитель двухпильный Ц2 и К12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Формативный четырехпильный с фрезерными головками ЦФ-2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СР-6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СР-12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СР-18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Рейсмусовые двусторонние: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С2Р8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С2Р12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С2Р16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Четырехсторонние строгальные: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СК-15, С16-4, С16-5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СП-30, С-26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Фрезерный Ф-4, Ф-5, Ф-6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Фрезерный с автоподачей ФА-4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Карусельно-фрезерный Ф1К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Шипорезные станки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Односторонний рамный ШО-10: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пила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шипорезные фрезы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Односторонний рамный ШО-6: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Пила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шипорезные головки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проушечный диск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фрезерные головки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Универсальный круглопильный УП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Ленточнопильные станки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Ленточнопильный делитель ЛД-140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Ленточнопильный столярный ЛС-80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Строгальные станки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Фуговальные с ручной подачей: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СФ-3, СФ-4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СФ-6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Фуговальные с механической подачей: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СФА-4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СФА-6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Рейсмусовый односторонний СР-3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Шипорезный рамный МД-100: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Пила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шипорезные фрезы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проушечные фрезы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Сверлильный и долбежные станки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Сверлильный горизонтальный СвПА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Сверлильный вертикальный с автоподачей СВА-2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Цепнодолбежный ДЦА-2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Шлифовальные станки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свободной лентой ШлСЛ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Ленточный с неподвижным столом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ШЛНС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диском и бобиной ШлДБ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двумя дисками Шл2Д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Трехцилиндровый Шл3Ц-3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Трехцилиндровый Шл3ЦВ-3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компонента загрязняющего вещества, поступающего в атмосферу при производстве отделочных материалов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, т/год), определяется по формуле:</w:t>
      </w:r>
    </w:p>
    <w:p>
      <w:pPr>
        <w:spacing w:after="120"/>
        <w:ind w:firstLine="900"/>
        <w:jc w:val="center"/>
      </w:pPr>
      <w:r>
        <w:rPr>
          <w:rFonts w:ascii="Arial" w:cs="Arial" w:eastAsia="Arial" w:hAnsi="Arial"/>
          <w:sz w:val="24"/>
          <w:szCs w:val="24"/>
        </w:rPr>
        <w:t xml:space="preserve">, (2.)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– количество расходуемого материала (т/год);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– содержание компонента в летучей части расходуемого материала (%).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формальдегида или фенола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, т/год), поступающих в атмосферу при производстве мебели, фанеры и древесно-стружечных плит, определяется по формуле:</w:t>
      </w:r>
    </w:p>
    <w:p>
      <w:pPr>
        <w:spacing w:after="120"/>
        <w:ind w:firstLine="900"/>
        <w:jc w:val="center"/>
      </w:pPr>
      <w:r>
        <w:rPr>
          <w:rFonts w:ascii="Arial" w:cs="Arial" w:eastAsia="Arial" w:hAnsi="Arial"/>
          <w:sz w:val="24"/>
          <w:szCs w:val="24"/>
        </w:rPr>
        <w:t xml:space="preserve">, (3.)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– количество расходуемой смолы (т/год);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φ</w:t>
      </w:r>
      <w:r>
        <w:rPr>
          <w:rFonts w:ascii="Arial" w:cs="Arial" w:eastAsia="Arial" w:hAnsi="Arial"/>
          <w:sz w:val="24"/>
          <w:szCs w:val="24"/>
        </w:rPr>
        <w:t xml:space="preserve"> – содержание (%) свободного формальдегида или фенола в составе смолы (табл. 3 – 6);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β</w:t>
      </w:r>
      <w:r>
        <w:rPr>
          <w:rFonts w:ascii="Arial" w:cs="Arial" w:eastAsia="Arial" w:hAnsi="Arial"/>
          <w:sz w:val="24"/>
          <w:szCs w:val="24"/>
        </w:rPr>
        <w:t xml:space="preserve"> – коэффициент, определяемой технологической операцией. Значения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β</w:t>
      </w:r>
      <w:r>
        <w:rPr>
          <w:rFonts w:ascii="Arial" w:cs="Arial" w:eastAsia="Arial" w:hAnsi="Arial"/>
          <w:sz w:val="24"/>
          <w:szCs w:val="24"/>
        </w:rPr>
        <w:t xml:space="preserve"> принимаются равными: при процессах намазки 0,25; при фанеровании натурального и синтетического шпона 0,05; при пропитке (ламинировании) бумаги 0,5; при производстве древесно-стружечных плит (пропитка стружки смолой, горячее прессование, охлаждение плит) 0,4; при производстве фанеры 0,5.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формальдегида и аммиака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 т/год) поступающих в атмосферу при использовании смол, содержащих эти компоненты, можно определить также по удельным показателям:</w:t>
      </w:r>
    </w:p>
    <w:p>
      <w:pPr>
        <w:spacing w:after="120"/>
        <w:ind w:firstLine="900"/>
        <w:jc w:val="center"/>
      </w:pPr>
      <w:r>
        <w:rPr>
          <w:rFonts w:ascii="Arial" w:cs="Arial" w:eastAsia="Arial" w:hAnsi="Arial"/>
          <w:sz w:val="24"/>
          <w:szCs w:val="24"/>
        </w:rPr>
        <w:t xml:space="preserve">;   </w:t>
      </w:r>
      <w:r>
        <w:rPr>
          <w:rFonts w:ascii="Arial" w:cs="Arial" w:eastAsia="Arial" w:hAnsi="Arial"/>
          <w:sz w:val="24"/>
          <w:szCs w:val="24"/>
        </w:rPr>
        <w:t xml:space="preserve">, (4.)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– удельный выброс (г/кг расходуемой смолы) формальдегида и аммиака (табл. 7)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табл. 3. – 6. приведены составы смол и лаков, наиболее часто применяемых при производстве мебели, фанеры и древесно-стружечных плит.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смол, применяемых для производства мебели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8"/>
        <w:gridCol w:w="1275"/>
        <w:gridCol w:w="1351"/>
        <w:gridCol w:w="1351"/>
        <w:gridCol w:w="1351"/>
        <w:gridCol w:w="1351"/>
      </w:tblGrid>
      <w:tr>
        <w:tc>
          <w:tcPr>
            <w:tcW w:type="dxa" w:w="3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</w:t>
            </w:r>
          </w:p>
        </w:tc>
        <w:tc>
          <w:tcPr>
            <w:tcW w:type="dxa" w:w="12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смолы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М-60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М-70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М-19-62</w:t>
            </w:r>
          </w:p>
        </w:tc>
      </w:tr>
      <w:tr>
        <w:tc>
          <w:tcPr>
            <w:tcW w:type="dxa" w:w="3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Формалин (37 %)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270,2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3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Аммиачная вода (25 %)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– 2,8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– 3,0</w:t>
            </w:r>
          </w:p>
        </w:tc>
      </w:tr>
      <w:tr>
        <w:tc>
          <w:tcPr>
            <w:tcW w:type="dxa" w:w="3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Едкий натр (42 %)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– 0,5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0,7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– 0,7</w:t>
            </w:r>
          </w:p>
        </w:tc>
      </w:tr>
      <w:tr>
        <w:tc>
          <w:tcPr>
            <w:tcW w:type="dxa" w:w="3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аммоний (20 %)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– 0,2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0,3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– 0,3</w:t>
            </w:r>
          </w:p>
        </w:tc>
      </w:tr>
      <w:tr>
        <w:tc>
          <w:tcPr>
            <w:tcW w:type="dxa" w:w="3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Свободный формальдегид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– 4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– 1,5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– 3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– 1,2</w:t>
            </w:r>
          </w:p>
        </w:tc>
      </w:tr>
      <w:tr>
        <w:tc>
          <w:tcPr>
            <w:tcW w:type="dxa" w:w="3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– 63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– 70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– 70</w:t>
            </w:r>
          </w:p>
        </w:tc>
      </w:tr>
    </w:tbl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пропиточных смол и лаков в производстве синтетических пленок</w:t>
      </w:r>
    </w:p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97"/>
        <w:gridCol w:w="828"/>
        <w:gridCol w:w="816"/>
        <w:gridCol w:w="830"/>
        <w:gridCol w:w="830"/>
        <w:gridCol w:w="1164"/>
        <w:gridCol w:w="942"/>
        <w:gridCol w:w="830"/>
        <w:gridCol w:w="708"/>
        <w:gridCol w:w="830"/>
      </w:tblGrid>
      <w:tr>
        <w:tc>
          <w:tcPr>
            <w:tcW w:type="dxa" w:w="2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НЦ-2101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МФПС-1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МВПС-2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МЛ-21111-ПМ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ММПК-25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ММПК-50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СПМФ-4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Карбамид (100%)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110+30</w:t>
            </w:r>
            <w:hyperlink w:history="1" r:id="rIdaslv1p1zyeysdf_g2vsu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*</w:t>
              </w:r>
            </w:hyperlink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100+50*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Формалин (37 %)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Уротропин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Меламин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Капролактам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23,79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Бутанол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Изобутанол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Акмос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Триэтаноламин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ОП-7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Свободный формальдегид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0,5-0,1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28-33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040±1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51±1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– 54 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– 52 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– 50 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45 –50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</w:tbl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(%) отделочных материалов (растворители, лаки, краски, эмали, шпатлевка)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tcW w:type="dxa" w:w="5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</w:t>
            </w:r>
          </w:p>
        </w:tc>
        <w:tc>
          <w:tcPr>
            <w:tcW w:type="dxa" w:w="9605"/>
            <w:gridSpan w:val="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646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647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648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649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РМЛ-218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РМЛ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РМЛ-315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РВД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РКБ-1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РКБ-2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Р-4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Р-219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АМР-3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РЛ-277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РЛ-278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РЛ-251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Метилизобутилкетон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Бутиловый спирт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спирт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Этилцеллозольев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Этилгликольацетат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Летучая часть, 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табл.5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</w:t>
            </w:r>
          </w:p>
        </w:tc>
        <w:tc>
          <w:tcPr>
            <w:tcW w:type="dxa" w:w="14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Грунтовки</w:t>
            </w:r>
          </w:p>
        </w:tc>
        <w:tc>
          <w:tcPr>
            <w:tcW w:type="dxa" w:w="508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Лаки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
 вниваю
 щая жид
 кость РМЕ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
 ределите
 льная жид
 кость НЦ-313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
 ополитера
 тура НЦ-314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
 ировоч
 ная вода № 18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НЦ-0140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НЦ-223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НЦ-224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НЦ-243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НЦ-52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спирт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Этилцеллозольв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Окситерпеновый растворитель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Сольвент-нафта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«галоша»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Летучая часть, %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остаток, %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5.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</w:t>
            </w:r>
          </w:p>
        </w:tc>
        <w:tc>
          <w:tcPr>
            <w:tcW w:type="dxa" w:w="904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Полиэфирные, поли- и нитроуретановые краски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ПЭ-246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ПЭ-265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ПЭ-232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ПЭ-220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ПЭ-250М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УР-277М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ПЭ-251Б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УР-245М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– 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– 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Битулацетат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– 2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– 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– 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Метилизобутилкетон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– 11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– 11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Этилгликольацетат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Летучая часть,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– 29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остаток,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– 71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табл. 5.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14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</w:tblGrid>
      <w:tr>
        <w:tc>
          <w:tcPr>
            <w:tcW w:type="dxa" w:w="17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</w:t>
            </w:r>
          </w:p>
        </w:tc>
        <w:tc>
          <w:tcPr>
            <w:tcW w:type="dxa" w:w="846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ПЭ-276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НЦ-132П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НЦ-1125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НЦ-258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Этилцеллозольв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– 4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4,34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Бутанол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Этанол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– 1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Сольвент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43,4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Уайт-спирит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Летучая часть, %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–10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–90 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табл. 5.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2"/>
        <w:gridCol w:w="867"/>
        <w:gridCol w:w="867"/>
        <w:gridCol w:w="867"/>
        <w:gridCol w:w="867"/>
        <w:gridCol w:w="867"/>
        <w:gridCol w:w="867"/>
        <w:gridCol w:w="867"/>
        <w:gridCol w:w="867"/>
        <w:gridCol w:w="867"/>
        <w:gridCol w:w="867"/>
      </w:tblGrid>
      <w:tr>
        <w:tc>
          <w:tcPr>
            <w:tcW w:type="dxa" w:w="15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</w:t>
            </w:r>
          </w:p>
        </w:tc>
        <w:tc>
          <w:tcPr>
            <w:tcW w:type="dxa" w:w="867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Шпатлевки, грунтовки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ПФ-002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НЦ-008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ХВ-005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ГФ-032, ГС, ГФ-0163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ГФ-031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ГФ-032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ФЛ-03К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ФЛ-03Ж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ХС-010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АК-070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ХВК-2А</w:t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Бутанол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Сольвент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Уайт-спирит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Летучая часть, %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остаток, %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смол для производства фанеры и древесно-стружечных плит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7"/>
        <w:gridCol w:w="723"/>
        <w:gridCol w:w="1363"/>
        <w:gridCol w:w="1363"/>
        <w:gridCol w:w="1363"/>
        <w:gridCol w:w="902"/>
        <w:gridCol w:w="902"/>
        <w:gridCol w:w="902"/>
        <w:gridCol w:w="902"/>
      </w:tblGrid>
      <w:tr>
        <w:tc>
          <w:tcPr>
            <w:tcW w:type="dxa" w:w="17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</w:t>
            </w:r>
          </w:p>
        </w:tc>
        <w:tc>
          <w:tcPr>
            <w:tcW w:type="dxa" w:w="7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408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Карбамидоформальдегидные</w:t>
            </w:r>
          </w:p>
        </w:tc>
        <w:tc>
          <w:tcPr>
            <w:tcW w:type="dxa" w:w="36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Фенолформальдегидные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КФ-МТ (КС-68М)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КФ-5 (КС-68Б)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КФ-Ж (М9-62Б)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СФЖ-3014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СФЖ-3013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СФЖ-3011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С-50</w:t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Карбамид (100 %)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Формалин (37%)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216,26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162,5</w:t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 кристаллической (98 – 99,9 %)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Едкий натр (100 %)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– 0,14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Аммиачная вода (25 %)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аммоний (20 %)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– 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Свободный формальде-гид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Свободный фенол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66±1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67±2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67±2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В скобках дана марка по отмененной нормативно-технической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Удельное выделение загрязняющих веществ (г/кг)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0"/>
        <w:gridCol w:w="3406"/>
        <w:gridCol w:w="3363"/>
      </w:tblGrid>
      <w:tr>
        <w:tc>
          <w:tcPr>
            <w:tcW w:type="dxa" w:w="3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формальдегида (или аммиака) в смоле, %</w:t>
            </w:r>
          </w:p>
        </w:tc>
        <w:tc>
          <w:tcPr>
            <w:tcW w:type="dxa" w:w="3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  <w:tc>
          <w:tcPr>
            <w:tcW w:type="dxa" w:w="3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</w:t>
            </w:r>
          </w:p>
        </w:tc>
      </w:tr>
      <w:tr>
        <w:tc>
          <w:tcPr>
            <w:tcW w:type="dxa" w:w="3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</w:tr>
      <w:tr>
        <w:tc>
          <w:tcPr>
            <w:tcW w:type="dxa" w:w="3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4,81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silxzp_xt_j5oks1z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dalil.kg/document/230043271</w:t>
      </w:r>
    </w:hyperlink>
  </w:p>
  <w:p>
    <w:pPr>
      <w:spacing w:after="0" w:before="40"/>
      <w:jc w:val="center"/>
    </w:pPr>
    <w:hyperlink w:history="1" r:id="rIdv2_e1mttl0fgxi8dl7o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lv1p1zyeysdf_g2vsuo" Type="http://schemas.openxmlformats.org/officeDocument/2006/relationships/hyperlink" Target="https://dalil.kg/document/230043271#_ftn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silxzp_xt_j5oks1z5b" Type="http://schemas.openxmlformats.org/officeDocument/2006/relationships/hyperlink" Target="https://dalil.kg/document/230043271" TargetMode="External"/><Relationship Id="rIdv2_e1mttl0fgxi8dl7o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2026-09-26T21:03:48.325Z</dcterms:created>
  <dcterms:modified xsi:type="dcterms:W3CDTF">2026-09-26T21:03:48.327Z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