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АСФАЛЬТОБЕТОННОЕ ПРОИЗВОДСТВО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асфальтобетонных заводов (</w:t>
      </w:r>
      <w:r>
        <w:rPr>
          <w:rFonts w:ascii="Arial" w:cs="Arial" w:eastAsia="Arial" w:hAnsi="Arial"/>
          <w:sz w:val="24"/>
          <w:szCs w:val="24"/>
        </w:rPr>
        <w:t xml:space="preserve">далее - </w:t>
      </w:r>
      <w:r>
        <w:rPr>
          <w:rFonts w:ascii="Arial" w:cs="Arial" w:eastAsia="Arial" w:hAnsi="Arial"/>
          <w:sz w:val="24"/>
          <w:szCs w:val="24"/>
        </w:rPr>
        <w:t xml:space="preserve">АБЗ) наиболее характерные источники выделения загрязняющих веществ приведены в табл. 1. В таблице 2 представлены удельные выбросы пыли при работе различных типов асфальтосмесителей. Количество оксида углерода, сернистого газа и оксидов азота рассчитывают по формулам раздела 2.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Источники выбросов загрязняющих веществ на АБЗ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3"/>
        <w:gridCol w:w="3382"/>
        <w:gridCol w:w="3373"/>
      </w:tblGrid>
      <w:tr>
        <w:tc>
          <w:tcPr>
            <w:tcW w:type="dxa" w:w="3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Цех, участок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выбросов</w:t>
            </w:r>
          </w:p>
        </w:tc>
        <w:tc>
          <w:tcPr>
            <w:tcW w:type="dxa" w:w="3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выделения</w:t>
            </w:r>
          </w:p>
        </w:tc>
      </w:tr>
      <w:tr>
        <w:tc>
          <w:tcPr>
            <w:tcW w:type="dxa" w:w="3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Асфальтосмесительный цех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 пылеуловителей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пересыпки каменных материалов в разгрузочную коробку</w:t>
            </w:r>
          </w:p>
        </w:tc>
      </w:tr>
      <w:tr>
        <w:tc>
          <w:tcPr>
            <w:tcW w:type="dxa" w:w="3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Узел соединения сушильного барабана с разгрузочной коробкой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барабан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 сушильного материала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Грохот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пересыпки наполнителей в бункеры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Пневмотранспорт наполнителя в силосные емкости</w:t>
            </w:r>
          </w:p>
        </w:tc>
      </w:tr>
      <w:tr>
        <w:tc>
          <w:tcPr>
            <w:tcW w:type="dxa" w:w="3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Битумный цех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Битумные котлы</w:t>
            </w:r>
          </w:p>
        </w:tc>
      </w:tr>
      <w:tr>
        <w:tc>
          <w:tcPr>
            <w:tcW w:type="dxa" w:w="3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Камнедробильный участок</w:t>
            </w:r>
          </w:p>
        </w:tc>
        <w:tc>
          <w:tcPr>
            <w:tcW w:type="dxa" w:w="3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Неорганизованные</w:t>
            </w:r>
          </w:p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пересыпки камня в приемный бункер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Щековая дробилка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Конусная дробилка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Грохот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пересыпки молотых материалов с конвейера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Концентрация и удельный выброс пыли при работе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различных асфальтосмесительных установок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Асфальтосмеситель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 в газах, прошедших очистку, г/нм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выброс пыли, г/с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Г-1</w:t>
            </w:r>
            <w:hyperlink w:history="1" r:id="rIdl8w7zidmyk7bauccbz3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Д-597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Д-597А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Д-508-2А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Д-617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Д-645-2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Первоначальные концентрации отходящих от АБЗ загрязняющих веществ ориентировочно составляют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неорганическая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газ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 (при работе на газе не учитывается)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   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0,00007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Неорганизованные выбросы загрязняющих веществ от технического оборудования составляют примерно 17,5 кг на 1 т горячего асфальтобетона.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при погрузке, разгрузке, транспортировке и складировании можно ориентировочно оценить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(1.)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убыль материалов (%);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– масса строительного материала. Нормы естественной убыли дорожно-строительных материалов приведены в табл.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естественной убыли (потерь) дорожно-строительных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6"/>
        <w:gridCol w:w="2879"/>
        <w:gridCol w:w="1905"/>
        <w:gridCol w:w="1355"/>
        <w:gridCol w:w="1463"/>
      </w:tblGrid>
      <w:tr>
        <w:tc>
          <w:tcPr>
            <w:tcW w:type="dxa" w:w="2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</w:t>
            </w:r>
          </w:p>
        </w:tc>
        <w:tc>
          <w:tcPr>
            <w:tcW w:type="dxa" w:w="2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хранения и укладка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складском хранении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погрузке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разгрузке</w:t>
            </w:r>
          </w:p>
        </w:tc>
      </w:tr>
      <w:tr>
        <w:tc>
          <w:tcPr>
            <w:tcW w:type="dxa" w:w="2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Щебень, в том числе черный, холодный гравий, песок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Открытый склад в штабелях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механизированном складировании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минеральный порошок, известь комковая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склады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силосного типа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бункерного типа и амбарные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Холодный асфальт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Открытый склад (в штабелях или под навесом)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Битум, деготь, эмульсия, смазочные материалы и т.п.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Ямные хранилища закрытого типа или резервуары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Полуподземные или надземные склады, резервуары.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sll2p3tae2dcahn48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dalil.kg/document/230043273</w:t>
      </w:r>
    </w:hyperlink>
  </w:p>
  <w:p>
    <w:pPr>
      <w:spacing w:after="0" w:before="40"/>
      <w:jc w:val="center"/>
    </w:pPr>
    <w:hyperlink w:history="1" r:id="rIdtn--lp2emx5mw_gnf-n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w7zidmyk7bauccbz3wz" Type="http://schemas.openxmlformats.org/officeDocument/2006/relationships/hyperlink" Target="https://dalil.kg/document/230043273#_ftn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sll2p3tae2dcahn48zx" Type="http://schemas.openxmlformats.org/officeDocument/2006/relationships/hyperlink" Target="https://dalil.kg/document/230043273" TargetMode="External"/><Relationship Id="rIdtn--lp2emx5mw_gnf-n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2026-09-26T21:06:29.470Z</dcterms:created>
  <dcterms:modified xsi:type="dcterms:W3CDTF">2026-09-26T21:06:29.470Z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