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uu7jskfs3z7y65wcqxa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13 марта 2026 года № 175)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реализации драгоценных металлов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отечественным производителям ювелирных изделий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Настоящий </w:t>
      </w:r>
      <w:r>
        <w:rPr>
          <w:rFonts w:ascii="Arial" w:cs="Arial" w:eastAsia="Arial" w:hAnsi="Arial"/>
          <w:sz w:val="24"/>
          <w:szCs w:val="24"/>
        </w:rPr>
        <w:t xml:space="preserve">Порядок реализации драгоценных металлов отечественным производителям ювелирных изделий</w:t>
      </w:r>
      <w:r>
        <w:rPr>
          <w:rFonts w:ascii="Arial" w:cs="Arial" w:eastAsia="Arial" w:hAnsi="Arial"/>
          <w:sz w:val="24"/>
          <w:szCs w:val="24"/>
        </w:rPr>
        <w:t xml:space="preserve"> (далее – Порядок) разработан в соответствии с частью 4 </w:t>
      </w:r>
      <w:hyperlink w:history="1" r:id="rIdzffyaeotmetnvsoa3as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драгоценных металлах и драгоценных камнях» и регламентирует порядок реализации уполномоченным государственным органом драгоценных металлов производителям ювелирных изделий, использующим драгоценные металлы для изготовления ювелирных и других изделий из драгоценных металлов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Для целей настоящего Порядка используются следующие термины и их определения: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аффинированные стандартные слитки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изготовленные и </w:t>
      </w:r>
      <w:r>
        <w:rPr>
          <w:rFonts w:ascii="Arial" w:cs="Arial" w:eastAsia="Arial" w:hAnsi="Arial"/>
          <w:sz w:val="24"/>
          <w:szCs w:val="24"/>
        </w:rPr>
        <w:t xml:space="preserve">сертифицированные </w:t>
      </w:r>
      <w:r>
        <w:rPr>
          <w:rFonts w:ascii="Arial" w:cs="Arial" w:eastAsia="Arial" w:hAnsi="Arial"/>
          <w:sz w:val="24"/>
          <w:szCs w:val="24"/>
        </w:rPr>
        <w:t xml:space="preserve">слитки из золота или серебра, соответствующие международным стандартам качества, принятым Лондонской ассоциацией рынка драгоценных металлов;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аффинированные мерные слитки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изготовленные и сертифицированные слитки из драгоценного металла (золота, серебра, платины) массой 1000 граммов и менее, с содержанием химически чистого основного металла не менее 99,90 процента лигатурной массы слитка для золота, не менее 99,90 процента лигатурной массы слитка для серебра и не менее 99,95 процента лигатурной массы слитка для платины;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аффинированные драгоценные металлы в нестандартной форме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драгоценные металлы любой формы (стержни, гранулы, пластины, проволока и прочее) и размеров, отличных от формы и размеров стандартных и мерных слитков аффинированных драгоценных металлов;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налоговый орган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территориальные и/или функциональные подразделения</w:t>
      </w:r>
      <w:r>
        <w:rPr>
          <w:rFonts w:ascii="Arial" w:cs="Arial" w:eastAsia="Arial" w:hAnsi="Arial"/>
          <w:sz w:val="24"/>
          <w:szCs w:val="24"/>
        </w:rPr>
        <w:t xml:space="preserve">уполномоченного налогового органа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производители ювелирных изделий</w:t>
      </w:r>
      <w:r>
        <w:rPr>
          <w:rFonts w:ascii="Arial" w:cs="Arial" w:eastAsia="Arial" w:hAnsi="Arial"/>
          <w:sz w:val="24"/>
          <w:szCs w:val="24"/>
        </w:rPr>
        <w:t xml:space="preserve"> – юридические лица и индивидуальные предприниматели, осуществляющие деятельность по изготовлению ювелирных и других изделий из драгоценных металлов и драгоценных камней;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сырье</w:t>
      </w:r>
      <w:r>
        <w:rPr>
          <w:rFonts w:ascii="Arial" w:cs="Arial" w:eastAsia="Arial" w:hAnsi="Arial"/>
          <w:sz w:val="24"/>
          <w:szCs w:val="24"/>
        </w:rPr>
        <w:t xml:space="preserve"> – аффинированные драгоценные металлы, ювелирные изделия из них и их лом, предоставленные производителям ювелирных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– государственный орган, осуществляющий функцию по реализации государственной политики в сфере обращения и учета драгоценных металлов и драгоценных камней, за исключением изделий из них.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реализации сырья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Объектом сделок купли-продажи являются аффинированные драгоценные металлы в виде мерных и стандартных слитков, а также аффинированные драгоценные металлы в нестандартной форме из золота, серебра, ювелирные изделия и лом из них (далее – сырье).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Реализация сырья, находящегося в Государственном фонде драгоценных металлов и драгоценных камней Кыргызской Республики (далее – Госфонд), производителям ювелирных изделий осуществляется в национальной валюте по курсу Национального банка Кыргызской Республики, на основании вечернего фиксинга Лондонской ассоциации рынка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в день, предшествующий дню заключения сделки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Реализация сырья производителям ювелирных изделий осуществляется со скидкой в размере </w:t>
      </w:r>
      <w:r>
        <w:rPr>
          <w:rFonts w:ascii="Arial" w:cs="Arial" w:eastAsia="Arial" w:hAnsi="Arial"/>
          <w:sz w:val="24"/>
          <w:szCs w:val="24"/>
        </w:rPr>
        <w:t xml:space="preserve">2 (двух) процентов от фиксинга Лондонской ассоциации рынка драгоценных металлов.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 целях обеспечения производителей ювелирных изделий сырьем уполномоченный государственный орган осуществляет реализацию сырья на основании представленного налоговым органом перечня производителей ювелирных изделий, состоящих на специальном учете.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Перечень производителей ювелирных изделий, имеющих право на получение сырья из Госфонда, ежегодно, до 1 августа, представляется налоговым органом по форме согласно </w:t>
      </w:r>
      <w:hyperlink w:history="1" r:id="rIdswhcgrzwggiyfa4jtpn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на основании перечня производителей ювелирных изделий формирует прогнозную потребность в сырье на следующий год и не позднее 1 сентября текущего года направляет в Министерство финансов Кыргызской Республики сводную заявку.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предоставляемых сведений, а также за контроль целевого использования сырья производителями ювелирных изделий несет налоговый орган в пределах своей компетенции.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Производители ювелирных изделий представляют бумажную и (или) электронную заявку по автоматизированной информационной системе по форме согласно </w:t>
      </w:r>
      <w:hyperlink w:history="1" r:id="rIdfdsdeb_wpgcm2abnsuj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которая содержит сведения 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заявках на приобретение сырья без отсрочки платежа;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заявках на приобретение сырья с отсрочкой платежа до 180 календарных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Отпуск сырья производителям ювелирных изделий осуществляется: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без отсрочки платежа – после полной (100‑процентной) оплаты стоимости сырья, в срок не позднее 3 (трех) рабочих дней со дня заключения договора купли-продажи;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 отсрочкой платежа – после заключения договора купли-продажи и предоставления банковской гарантии, оформленной в соответствии с законодательством Кыргызской Республики, в срок не позднее 5 (пяти)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финансов Кыргызской Республики на основании сводной заявки предусматривает в республиканском бюджете средства, необходимые для приобретения сырья на соответствующий финансовый год, в порядке, установленном бюджетным законодательством Кыргызской Республики.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Условия предоставления сырья 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ежемесячно, до 5 числа, следующего за отчетным периодом, формирует перечень производителей ювелирных изделий на получение сырья в объеме не более 50 килограммов и отпускает сырье производителю ювелирных изделий на основании заявки в объеме не более 5 килограммов ежемесячно.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Предоставление сырья осуществляется при одновременном соблюдении следующих обязательных условий: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постановка производителя ювелирных изделий на специальный учет в налоговый орган;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производственных помещений, оборудованных в соответствии с требованиями безопасности и учета драгоценных металлов и драгоценных камней;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</w:t>
      </w:r>
      <w:r>
        <w:rPr>
          <w:rFonts w:ascii="Arial" w:cs="Arial" w:eastAsia="Arial" w:hAnsi="Arial"/>
          <w:sz w:val="24"/>
          <w:szCs w:val="24"/>
        </w:rPr>
        <w:t xml:space="preserve">условий для осуществления производственной деятельности, обеспечивающих</w:t>
      </w:r>
      <w:r>
        <w:rPr>
          <w:rFonts w:ascii="Arial" w:cs="Arial" w:eastAsia="Arial" w:hAnsi="Arial"/>
          <w:sz w:val="24"/>
          <w:szCs w:val="24"/>
        </w:rPr>
        <w:t xml:space="preserve"> целевое использование сырья;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финансовой отчетности (бухгалтерский баланс) за последний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плана производства по переработке заявленного объема драгоценных металлов;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соблюдение правил учета, хранения и использования драгоценных металлов и драгоценных камней;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банковской гарантии при приобретении сырья с отсрочкой платежа до 180 календарных дней;</w:t>
      </w:r>
    </w:p>
    <w:p>
      <w:pPr>
        <w:spacing w:after="120"/>
        <w:ind w:firstLine="698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отсутствие задолженности по налогам и обязательным платежам.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приобретения сырья с отсрочкой платежа до 180 календарных дней последующая реализация сырья данному производителю осуществляется только после полной оплаты ранее полученного сырья.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Реализация сырья осуществляется на основании договора купли-продажи, заключенного между уполномоченным государственным органом и производителем ювелирных изделий без рассмотрения вопроса пролонгации.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Производители ювелирных изделий в течение 35 дней со дня получения сырья обязаны изготовить ювелирные изделия в соответствующем объеме, а также пройти процедуры опробования и клеймения.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неиспользования сырья в полном объеме остаток сырья подлежит возврату в Госфонд согласно договору купли-продажи.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При заключении договора купли-продажи с отсрочкой платежа до 180 календарных дней производитель ювелирных изделий обязан предоставить банковскую гарантию.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нарушения срока использования сырья, указанного в пункте 17 настоящего Порядка, производитель ювелирных изделий уплачивает неустойку (пеню) в размере 0,1 процента от стоимости неиспользованного остатка сырья за каждый календарный день просрочки, за исключением остатка сырья в размере не более 5 (пяти) процентов от полученного объема.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Сырье не предоставляется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непредставления (либо представления не в полном объ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ме) документов, предусмотренных настоящим Порядком;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неисполнения либо ненадлежащего исполнения ранее принятых обязательств по использованию предоставленного сырья;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отсутствия необходимого объема сырья у уполномоченного государственного органа на момент рассмотрения заявки.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В случае несвоевременной оплаты стоимости сырья уполномоченный государственный орган осуществляет обращение взыскания на сумму банковской гарантии в порядке и на условиях, предусмотренных договором купли-продажи и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Производители ювелирных изделий ежемесячно, до 5 числа, следующего за отчетным периодом, представляют в уполномоченный государственный орган отчет об использовании сырья и его остатках в электронном формате по форме согласно </w:t>
      </w:r>
      <w:hyperlink w:history="1" r:id="rIdkrwwcn1dtjttct8hcdg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по производству ювелирных и других изделий производитель ювелирных изделий в течение 10 (десяти) календарных дней должен оплатить всю сумму за сырье, приобретенное в соответствии с настоящим Порядком, уполномоченному государственному органу.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Реализация драгоценных металлов в целях обеспечения сырьем производителей ювелирных изделий может осуществляться на биржевых торгах в порядке, установленном законодательством Кыргызской Републики.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Контроль и ответственность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целевое использование сырья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При проведении налогового контроля за целевым использованием сырья производителями ювелирных изделий в случае выявления следующих нарушений: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нецелевого использования сырья, полученного из Госфонда;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расхождения фактического остатка драгоценных металлов с отчетными данными;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нарушения сроков предоставления ювелирных изделий на опробование и клеймение;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нарушения сроков предоставления либо непредоставления соответствующей отчетности по использованию полученных драгоценных металлов предусматриваются меры ответственности согласно пункту 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В случае выявления нарушений, указанных в пункте 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принимаются следующие меры к производителям ювелирных изделий: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введение запрета на дальнейшую выдачу сырья из Госфонда;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изъятие ранее выданного сырья с последующей передачей его в Госфонд;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аннулирование свидетельства о постановке на специальный учет;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взыскание разницы в стоимости сырья с учетом его рыночной стоимости.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Исполнение обязательств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. Производители ювелирных изделий обязаны исполнять условия договора купли-продажи и несут ответственность за целевое и эффективное использование полученного сырья в соответствии с условиями договора и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Обязательства должны исполняться надлежащим образом и в установленный срок в соответствии с условиями договора и требованиями гражданского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. Производители ювелирных изделий вправе исполнить обязательства досрочно, если иное не предусмотрено условиями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Платежи, не погашенные в день наступления срока их исполнения, считаются просроченными начиная со дня, следующего за днем установленного срока платежа.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Начисленные суммы процентов и неустойки подлежат отражению в документах, направляемых производителям ювелирных изделий, в порядке, установленном договором купли-продажи и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Погашение платежей денежными средствами осуществляется на основании платежных документов путем прохождения платежей через систему казначейства в порядке, установленном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Способы обеспечения исполнения обязательств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Исполнение обязательств производителями ювелирных изделий обеспечивается неустойкой, банковской гарантией и другими способами, предусмотренными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Условия применения и начисления финансовых санкций (неустойки) определяются договором купли-продажи.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 случае неисполнения или ненадлежащего исполнения производителем ювелирных изделий обязательств по договору купли-продажи уполномоченный государственный орган вправе предъявить требование по банковской гарантии в порядке и на условиях, предусмотренных договором купли-продажи и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Налоговый орган в соответствии с Налоговым </w:t>
      </w:r>
      <w:hyperlink w:history="1" r:id="rIdvzfwmvsfm-mzcd0r4dt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r2mjhpr3tx9zktg10k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драгоценных металлах и драгоценных камнях» </w:t>
      </w:r>
      <w:r>
        <w:rPr>
          <w:rFonts w:ascii="Arial" w:cs="Arial" w:eastAsia="Arial" w:hAnsi="Arial"/>
          <w:sz w:val="24"/>
          <w:szCs w:val="24"/>
        </w:rPr>
        <w:t xml:space="preserve">и настоящим Порядком в пределах своей компетенции осуществляет контроль за целевым использованием драгоценных металлов, приобретаемых производителями ювелирных изделий.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использования драгоценных металлов, приобретенных через уполномоченный государственный орган, не по целевому назначению производители ювелирных изделий несут ответственность в соответствии с пунктом 26 настоящего Порядка.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реализации</w:t>
      </w:r>
      <w:r>
        <w:rPr>
          <w:rFonts w:ascii="Arial" w:cs="Arial" w:eastAsia="Arial" w:hAnsi="Arial"/>
          <w:sz w:val="24"/>
          <w:szCs w:val="24"/>
        </w:rPr>
        <w:t xml:space="preserve">драгоценных металлов отечественным</w:t>
      </w:r>
      <w:r>
        <w:rPr>
          <w:rFonts w:ascii="Arial" w:cs="Arial" w:eastAsia="Arial" w:hAnsi="Arial"/>
          <w:sz w:val="24"/>
          <w:szCs w:val="24"/>
        </w:rPr>
        <w:t xml:space="preserve">производителям ювелирных изделий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производителей ювелирных изделий, имеющих право на приобретение драгоценных металлов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7"/>
        <w:gridCol w:w="3144"/>
        <w:gridCol w:w="2849"/>
        <w:gridCol w:w="1735"/>
        <w:gridCol w:w="1903"/>
      </w:tblGrid>
      <w:tr>
        <w:tc>
          <w:tcPr>
            <w:tcW w:type="dxa" w:w="5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производителей ювелирных изделий из драгоценных металлов</w:t>
            </w:r>
          </w:p>
        </w:tc>
        <w:tc>
          <w:tcPr>
            <w:tcW w:type="dxa" w:w="2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Номер, дата выдачи свидетельства о постановке на специальный учет</w:t>
            </w:r>
          </w:p>
        </w:tc>
        <w:tc>
          <w:tcPr>
            <w:tcW w:type="dxa" w:w="1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драгоценного металла</w:t>
            </w:r>
          </w:p>
        </w:tc>
        <w:tc>
          <w:tcPr>
            <w:tcW w:type="dxa" w:w="1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драгоценного металла
 (в граммах)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0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
               (должность и 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
 (дата и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реализации драгоценных металлов отечественным производителям ювелирных изделий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
 на приобретение драгоценных металлов производителями ювелирных и других изделий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_____________</w:t>
      </w:r>
      <w:r>
        <w:rPr>
          <w:rFonts w:ascii="Arial" w:cs="Arial" w:eastAsia="Arial" w:hAnsi="Arial"/>
          <w:sz w:val="24"/>
          <w:szCs w:val="24"/>
        </w:rPr>
        <w:t xml:space="preserve">   (номер заявки)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
 (дата заявки)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(наименование производителя ювелирных и других изделий)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
 (номер и дата постановки на
 специальный учет)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(юридический адрес)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
 (фактический адрес)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(ИНН)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
 (банковские реквизиты)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85"/>
        <w:gridCol w:w="1761"/>
        <w:gridCol w:w="2694"/>
        <w:gridCol w:w="839"/>
      </w:tblGrid>
      <w:tr>
        <w:tc>
          <w:tcPr>
            <w:tcW w:type="dxa" w:w="48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металла</w:t>
            </w:r>
          </w:p>
        </w:tc>
        <w:tc>
          <w:tcPr>
            <w:tcW w:type="dxa" w:w="1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Количество/вес</w:t>
            </w:r>
          </w:p>
        </w:tc>
        <w:tc>
          <w:tcPr>
            <w:tcW w:type="dxa" w:w="2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 (кг, г)</w:t>
            </w:r>
          </w:p>
        </w:tc>
        <w:tc>
          <w:tcPr>
            <w:tcW w:type="dxa" w:w="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</w:tr>
      <w:tr>
        <w:tc>
          <w:tcPr>
            <w:tcW w:type="dxa" w:w="4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 их лом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отсрочки платежа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отсрочкой платежа до 180 календарных дней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Постановка производителя ювелирных изделий на специальный учет в Государственной налоговой службе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Наличие производственных помещений, оборудованных в соответствии с требованиями безопасности и учета драгоценных металлов и драгоценных камней.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Наличие условий для осуществления производственной деятельности, обеспечивающих целевое использование сырья.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Предоставление финансовой отчетности за последний год (бухгалтерский баланс).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Наличие плана производства по переработке заявленного объема драгоценных металлов.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Соблюдение правил учета, хранения и использования драгоценных металлов и драгоценных камней.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Наличие банковской гарантии при приобретении сырья с отсрочкой платежа до 180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Отсутствие задолженности по налогам и обязательным платежам.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Иные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ФИО руководителя или уполномоченного лица: 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Должность: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Подпись: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Тел.: 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электронной почты: 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реализации драгоценных металлов отечественным производителям ювелирных изделий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
 об использовании приобретенного сырья и его остатках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Департамент драгоценных металлов КР при МФКР
 ____________________________________________
 (наименование получателя)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
 наименование предприятия
 _________________________________________________________________________________
 территория (область, город, район)
 _________________________________________________________________________________
 адрес (почтовый индекс, улица, номер дома)
 _________________________________________________________________________________
 организационно-правовая форма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____________________ 20___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граммах)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5"/>
        <w:gridCol w:w="2387"/>
        <w:gridCol w:w="1916"/>
        <w:gridCol w:w="1686"/>
        <w:gridCol w:w="2304"/>
      </w:tblGrid>
      <w:tr>
        <w:tc>
          <w:tcPr>
            <w:tcW w:type="dxa" w:w="18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драгоценного металла</w:t>
            </w:r>
          </w:p>
        </w:tc>
        <w:tc>
          <w:tcPr>
            <w:tcW w:type="dxa" w:w="2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отчетного периода</w:t>
            </w:r>
          </w:p>
        </w:tc>
        <w:tc>
          <w:tcPr>
            <w:tcW w:type="dxa" w:w="1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приобретенного сырья</w:t>
            </w:r>
          </w:p>
        </w:tc>
        <w:tc>
          <w:tcPr>
            <w:tcW w:type="dxa" w:w="1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готовой продукции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 отчетного периода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 их лом</w:t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ФИО руководителя или уполномоченного лица: 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Должность: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Подпись: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Тел.: 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электронной почты: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2bplp2judeng7tyyk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dalil.kg/document/230043333</w:t>
      </w:r>
    </w:hyperlink>
  </w:p>
  <w:p>
    <w:pPr>
      <w:spacing w:after="0" w:before="40"/>
      <w:jc w:val="center"/>
    </w:pPr>
    <w:hyperlink w:history="1" r:id="rIdmlntuvm_varrd2hgl7a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7jskfs3z7y65wcqxaji" Type="http://schemas.openxmlformats.org/officeDocument/2006/relationships/hyperlink" Target="https://dalil.kg/document/230042720" TargetMode="External"/><Relationship Id="rIdzffyaeotmetnvsoa3asmd" Type="http://schemas.openxmlformats.org/officeDocument/2006/relationships/hyperlink" Target="https://dalil.kg/document/112413#st_6" TargetMode="External"/><Relationship Id="rIdswhcgrzwggiyfa4jtpn_9" Type="http://schemas.openxmlformats.org/officeDocument/2006/relationships/hyperlink" Target="https://dalil.kg/document/230043333#pr1" TargetMode="External"/><Relationship Id="rIdfdsdeb_wpgcm2abnsujwf" Type="http://schemas.openxmlformats.org/officeDocument/2006/relationships/hyperlink" Target="https://dalil.kg/document/230043333#pr2" TargetMode="External"/><Relationship Id="rIdkrwwcn1dtjttct8hcdg4d" Type="http://schemas.openxmlformats.org/officeDocument/2006/relationships/hyperlink" Target="https://dalil.kg/document/230043333#pr3" TargetMode="External"/><Relationship Id="rIdvzfwmvsfm-mzcd0r4dtk-" Type="http://schemas.openxmlformats.org/officeDocument/2006/relationships/hyperlink" Target="https://dalil.kg/document/112340" TargetMode="External"/><Relationship Id="rIder2mjhpr3tx9zktg10kqk" Type="http://schemas.openxmlformats.org/officeDocument/2006/relationships/hyperlink" Target="https://dalil.kg/document/1124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2bplp2judeng7tyyko_" Type="http://schemas.openxmlformats.org/officeDocument/2006/relationships/hyperlink" Target="https://dalil.kg/document/230043333" TargetMode="External"/><Relationship Id="rIdmlntuvm_varrd2hgl7a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2026-09-26T18:10:56.509Z</dcterms:created>
  <dcterms:modified xsi:type="dcterms:W3CDTF">2026-09-26T18:10:56.509Z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