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pelbpl6xfd8rxznsvo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природных ресурсов, экологии и технического надзора Кыргызской Республики
 от 25 февраля 2026 года № 01-01/50)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 ОПРЕДЕЛЕНИЯ ВЫБРОСОВ ЗАГРЯЗНЯЮЩИХ ВЕЩЕСТВ В АТМОСФЕРНЫЙ ВОЗДУХ ОТ ПЕРЕДВИЖНЫХ ИСТОЧНИКОВ ДЛЯ ПРОВЕДЕНИЯ СВОДНЫХ РАСЧЕТОВ ЗАГРЯЗНЕНИЯ АТМОСФЕРНОГО ВОЗДУХА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предназначена для расчета величин выбросов загрязняющих веществ в атмосферный воздух (далее — выбросы) от совокупности передвижных источников, движущихся по автомобильные дорогам, (далее — автотранспортные потоки, автодороги) на территории, для которой проводятся сводные расчеты загрязнения атмосферного воздуха (далее — Сводные расчеты)'.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исходных данных для расчета максимальных разовых и валовых (годовых) выбросов от транспортных средств на эксплуатируемых автодорогах используются результаты натурных обследований состава по типам транспортных средств (далее — структура) и интенсивности движения автотранспортных потоков с учетом категории автодорог и типов транспортных средств. Для проектируемых автодорог используются данные о структуре и интенсивности движения транспортных средств в соответствии с проектной документацией.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возможных изменений интенсивности автотранспортных потоков, схемы организации улично-дорожной сети, а также транспортной инфраструктуры необходимо регулярное обновление данных о выбросах от транспортных средств на автодорогах для территории, для которой проводятся Сводные расчеты.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и проведение натурных обследований структуры и интенсивности автотранспортных потоков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натурных обследований автотранспортных потоков проводится анализ особенностей распределения автотранспортных потоков на территории, для которой проводятся Сводные расчеты, на основе данных о площади и размерах территории, для которой проводятся Сводные расчеты, о климатических условиях, о количестве населения, схемы организации улично-дорожной сети, об особенностях расположения объектов, оказывающих негативное воздействие на окружающую среду, объектов социальной инфраструктуры, транспортной инфраструктуры автомобильных дорог, объектов дорожного сервиса, о составе и интенсивности автотранспортных потоков и их изменений во времени (сутки, неделя, сезон и год).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схеме организации улично-дорожной сети, а также информация об условиях дорожного движения и организации движения транспортных средств (далее - транспортная нагрузка), запрашиваются в органах государственной власти субъектов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анализа схемы организации улично-дорожной сети, а также информации о транспортной нагрузке составляется программа обследования структуры и интенсивности автотранспортных потоков (далее - программа обследования).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обследования включает перечень автодорог (участков автодорог) с различной интенсивностью движения, выбранные места наблюдения на каждой автодороге (участке автодороги), способ проведения обследования структуры и интенсивности движения автотранспортных потоков, даты, время суток и длительность проведения такого обследования. В программу обследований не включаются автодороги (участки автодорог) с интенсивностью движения менее 300 транспортных средств в час, выбросы от автотранспортных потоков которых считаются незначительными для проведения Сводных расчетов.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на протяжении автодороги структура и (или) интенсивность движения автотранспортных потоков изменяется более чем на 20%, автодорога разбивается на участки, для которых отдельно осуществляется обследование и соответствующий расчет выбросов. Перечень автодорог (участков автодорог), включаемых в программу обследований, составляется с учетом климатических, географических, градостроительных особенностей муниципального, городского округа. В качестве единой системы координат используется система Единого государственного реестра недвижимости (далее - ЕГРН), либо местная система координат, с обязательной привязкой к системе координат, используемой ЕГРН.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Способы натурных обследований структуры и интенсивности движения: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фиксация транспортных средств визуально;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видеофиксация по видеофайлам;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видеофиксация по данным непрерывного автоматического учета.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Визуальный способ обследования основан на визуальном наблюдении и фиксировании количества транспортных средств, проезжающих по выбранному участку автодороги.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Видеофиксация по видеофайлам проводится в два этапа: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видеофиксация и получение видеофайлов, позволяющих идентифицировать типы, конструктивные и технические особенности всех транспортных средств, движущихся в потоке;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визуальное определение интенсивности движения по видеофайлам.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способа видеофиксации по видеофайлам камера устанавливается на штатив в месте наблюдения за участком автодороги. Запись проводится в течение 20 минут 1 - 2 раза в течение каждого часа периода наблюдений.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Фиксация способом непрерывного автоматического учета осуществляется при условии наличия данных за период не менее двух лет.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Фиксация транспортных средств, проезжающих по автодороге (участку автодороги), осуществляется с разделением по следующим типам: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I - легковые автомобили (Л);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II - автофургоны и микроавтобусы до 3,5 тонн (АМ) (грузопассажирские автофургоны, с количеством мест для сидения не более девяти, включая место водителя и легкие автофургоны, пассажирские и грузовые транспортные средства малой грузоподъемности независимо от наличия или отсутствия прицепов, включая жилые прицепы и транспортные средства для отдыха);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III - грузовые автомобили от 3,5 до 12 тонн ( Г</w:t>
      </w:r>
      <w:r>
        <w:rPr>
          <w:rFonts w:ascii="Arial" w:cs="Arial" w:eastAsia="Arial" w:hAnsi="Arial"/>
          <w:sz w:val="20"/>
          <w:szCs w:val="20"/>
        </w:rPr>
        <w:t xml:space="preserve">&gt;12</w:t>
      </w:r>
      <w:r>
        <w:rPr>
          <w:rFonts w:ascii="Arial" w:cs="Arial" w:eastAsia="Arial" w:hAnsi="Arial"/>
          <w:sz w:val="24"/>
          <w:szCs w:val="24"/>
        </w:rPr>
        <w:t xml:space="preserve"> ) (двухосные и трехосные грузовые автомобили без прицепа);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IV - грузовые автомобили свыше 12 тонн (Г</w:t>
      </w:r>
      <w:r>
        <w:rPr>
          <w:rFonts w:ascii="Arial" w:cs="Arial" w:eastAsia="Arial" w:hAnsi="Arial"/>
          <w:sz w:val="20"/>
          <w:szCs w:val="20"/>
        </w:rPr>
        <w:t xml:space="preserve">&gt;12</w:t>
      </w:r>
      <w:r>
        <w:rPr>
          <w:rFonts w:ascii="Arial" w:cs="Arial" w:eastAsia="Arial" w:hAnsi="Arial"/>
          <w:sz w:val="24"/>
          <w:szCs w:val="24"/>
        </w:rPr>
        <w:t xml:space="preserve">) (четырехосные грузовые автомобили, а также грузовые автомобили с одним или несколькими прицепами; тягачи с полуприцепами и одним или несколькими прицепами; тягачи без прицепов и полуприцепов и специализированные транспортные средства, такие как самоходные дорожные катки, бульдозеры, автокраны, автоцистерны армейского образца);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V - автобусы свыше 3,5 тонн (А</w:t>
      </w:r>
      <w:r>
        <w:rPr>
          <w:rFonts w:ascii="Arial" w:cs="Arial" w:eastAsia="Arial" w:hAnsi="Arial"/>
          <w:sz w:val="20"/>
          <w:szCs w:val="20"/>
        </w:rPr>
        <w:t xml:space="preserve">&gt;3,5</w:t>
      </w:r>
      <w:r>
        <w:rPr>
          <w:rFonts w:ascii="Arial" w:cs="Arial" w:eastAsia="Arial" w:hAnsi="Arial"/>
          <w:sz w:val="24"/>
          <w:szCs w:val="24"/>
        </w:rPr>
        <w:t xml:space="preserve">) (городские автобусы, автобусы дальнего следования).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Фиксация проезжающих по обследуемой автодороге (участку автодороги) транспортных средств проводится в течение 20 минут каждого часа периода наблюдений. Фиксация проезжающих транспортных средств проводится в двух встречных направлениях синхронно раздельно по каждому направлению движения. При высокой интенсивности движения (более 2 - 3 тысяч транспортных средств в час) допускается фиксация проезжающих транспортных средств первые 20 минут - в одном направлении, а следующие 20 минут - в противоположном направлении.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временной остановки автотранспортного потока, вызванного превышением пропускной способности автодороги (участка автодороги) (далее - "пробка"), на обследуемой автодороге (участке автодороги) фиксируется количество транспортных средств каждого из типов, находящихся на всей протяженности обследуемой автодороги (участке автодороги) в "пробке" в течение 20 минут каждого часа периода наблюдений.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выявления максимальной транспортной нагрузки наблюдения выполняются в часы с повышенной интенсивностью движения (далее - часы "пик").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обоснованного выбора часов "пик" при составлении программы обследований анализируются данные об интенсивности и структуре движения автотранспортных потоков.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Особенностью автодорог с транзитным проездом через муниципальный, городской округ (далее - транзитные автодороги) является увеличение транспортной нагрузки в дневное время суток.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Особенностью автодорог, не являющихся транзитными автодорогами, являются часы "пик" в период с 7 - 8 часов до 21 - 22 часов, при этом отмечается два максимума: утренний и вечерний (соответственно с 7 - 8 часов до 10 - 11 часов и с 16 - 17 часов до 19 - 20 часов) или один максимум в течение дневного времени суток.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Натурные обследования структуры и интенсивности движения автотранспортного потока проводятся не менее 4 - 6 раз в часы "пик" на каждой автодороге (участке автодороги) в течение 5 - 7 рабочих дней теплого периода года.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натурных обследований на каждой автодороге (или ее участке) фиксируются следующие параметры: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ширина проезжей части (в метрах);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полос движения в каждом направлении;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протяженность выбранного участка автодороги (в км) с указанием названий улиц, ограничивающих данную автодорогу (или ее участок);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скорость автотранспортного потока с подразделением на три основных типа транспортного средства: легковые и грузовые автомобили, автобусы (в км/час).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средней скорости движения автотранспортного потока используются транспортные средства (легковой автомобиль, грузовой автомобиль и автобус). При движении транспортного средства по всей протяженности обследуемой автодороги (участка автодороги) фиксируется время, затрачиваемое на весь путь. Такая фиксация затрачиваемого времени проводится 3 - 5 раз в часы "пик". Средняя скорость движения автотранспортного потока (км/час) на обследуемой автодороге (участке автодороги) вычисляется по основным типам транспортных средств как среднее расстояние (км), пройденное транспортным средством по всей протяженности обследуемой автодороги (участка автодороги), отнесенное к среднему времени (час), затраченному транспортным средством для преодоления этого расстояния.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Расстояние, пройденное транспортным средством, определяется по показаниям датчика пройденного пути на панели приборов транспортного средства.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автодорогах (участках автодорог) с безостановочным движением средняя скорость движения автотранспортного потока может фиксироваться по показаниям датчика скорости движения (км/час) на приборной панели транспортного средства.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валовых (годовых) выбросов на конкретных автодорогах в программу обследований включаются выходные дни и дни в разные сезоны года.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натурных обследований структуры и интенсивности движения автотранспортного потока оформляются в табличной форме, рекомендуемый образец приведен в </w:t>
      </w:r>
      <w:r>
        <w:rPr>
          <w:rFonts w:ascii="Arial" w:cs="Arial" w:eastAsia="Arial" w:hAnsi="Arial"/>
          <w:sz w:val="24"/>
          <w:szCs w:val="24"/>
        </w:rPr>
        <w:t xml:space="preserve">таблице №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таблице № 1</w:t>
      </w:r>
      <w:r>
        <w:rPr>
          <w:rFonts w:ascii="Arial" w:cs="Arial" w:eastAsia="Arial" w:hAnsi="Arial"/>
          <w:sz w:val="24"/>
          <w:szCs w:val="24"/>
        </w:rPr>
        <w:t xml:space="preserve"> должны прилагаться схемы расположения обследуемых автодорог (или их участков).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Обработка данных натурных обследований для их использования при проведении расчетов загрязнения атмосферы должна включать: определение средних значений интенсивности движения (за 20 мин.) по каждому типу транспортных средств для каждого часа "пик" в течение всего периода наблюдений.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полученного ряда средних значений выбираются наибольшие средние значения интенсивности движения для каждому типу транспортных средств, которые используются при расчетах по </w:t>
      </w:r>
      <w:r>
        <w:rPr>
          <w:rFonts w:ascii="Arial" w:cs="Arial" w:eastAsia="Arial" w:hAnsi="Arial"/>
          <w:sz w:val="24"/>
          <w:szCs w:val="24"/>
        </w:rPr>
        <w:t xml:space="preserve">формуле (1)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выбросов автотранспортных потоков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показателей выбросов автотранспортных потоков выполняется для следующих поступающих в атмосферный воздух с отработавшими газами загрязняющих веществ: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углерода оксид (CO);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азота оксид (NO);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азота диоксид (NO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взвешенные частицы PM</w:t>
      </w:r>
      <w:r>
        <w:rPr>
          <w:rFonts w:ascii="Arial" w:cs="Arial" w:eastAsia="Arial" w:hAnsi="Arial"/>
          <w:sz w:val="20"/>
          <w:szCs w:val="20"/>
        </w:rPr>
        <w:t xml:space="preserve">2,5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бензин;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керосин;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серы диоксид (SO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формальдегид (CH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9) бензапирен (C</w:t>
      </w:r>
      <w:r>
        <w:rPr>
          <w:rFonts w:ascii="Arial" w:cs="Arial" w:eastAsia="Arial" w:hAnsi="Arial"/>
          <w:sz w:val="20"/>
          <w:szCs w:val="20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0"/>
          <w:szCs w:val="20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метан (CH</w:t>
      </w:r>
      <w:r>
        <w:rPr>
          <w:rFonts w:ascii="Arial" w:cs="Arial" w:eastAsia="Arial" w:hAnsi="Arial"/>
          <w:sz w:val="20"/>
          <w:szCs w:val="20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расчета величин выбросов автотранспортных потоков используются усредненные значения выбросов на километр автодороги (г/км), соотнесенные с каждым учитываемым типом транспортных средств при их движении на участках автодорог (далее - удельные пробеговые выбросы).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Выбросы взвешенных частиц PM</w:t>
      </w:r>
      <w:r>
        <w:rPr>
          <w:rFonts w:ascii="Arial" w:cs="Arial" w:eastAsia="Arial" w:hAnsi="Arial"/>
          <w:sz w:val="20"/>
          <w:szCs w:val="20"/>
        </w:rPr>
        <w:t xml:space="preserve">2,5</w:t>
      </w:r>
      <w:r>
        <w:rPr>
          <w:rFonts w:ascii="Arial" w:cs="Arial" w:eastAsia="Arial" w:hAnsi="Arial"/>
          <w:sz w:val="24"/>
          <w:szCs w:val="24"/>
        </w:rPr>
        <w:t xml:space="preserve"> от автотранспортных потоков при проведении Сводных расчетов учитываются в составе выбросов взвешенных веществ.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удельных пробеговых выбросов приведены в </w:t>
      </w:r>
      <w:r>
        <w:rPr>
          <w:rFonts w:ascii="Arial" w:cs="Arial" w:eastAsia="Arial" w:hAnsi="Arial"/>
          <w:sz w:val="24"/>
          <w:szCs w:val="24"/>
        </w:rPr>
        <w:t xml:space="preserve">таблице №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указанной </w:t>
      </w:r>
      <w:r>
        <w:rPr>
          <w:rFonts w:ascii="Arial" w:cs="Arial" w:eastAsia="Arial" w:hAnsi="Arial"/>
          <w:sz w:val="24"/>
          <w:szCs w:val="24"/>
        </w:rPr>
        <w:t xml:space="preserve">таблице</w:t>
      </w:r>
      <w:r>
        <w:rPr>
          <w:rFonts w:ascii="Arial" w:cs="Arial" w:eastAsia="Arial" w:hAnsi="Arial"/>
          <w:sz w:val="24"/>
          <w:szCs w:val="24"/>
        </w:rPr>
        <w:t xml:space="preserve"> значения удельных пробеговых выбросов приведены: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метана - с учетом автотранспортных средств, работающих на сжатом природном газе (СПГ);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азота оксида (NO) и азота диоксида (NO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- с учетом их химических превращений (трансформации).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выбросов i-го загрязняющего вещества от автотранспортного потока (M</w:t>
      </w:r>
      <w:r>
        <w:rPr>
          <w:rFonts w:ascii="Arial" w:cs="Arial" w:eastAsia="Arial" w:hAnsi="Arial"/>
          <w:sz w:val="20"/>
          <w:szCs w:val="20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) определяется для конкретной автодороги (участка автодороги).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выбросов i-го загрязняющего вещества (г/с) от движущегося автотранспортного потока на автодороге (участке автодороги) с фиксированной протяженностью L (км) определяется по формуле (1):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L (км) - протяженность автодороги (участка автодороги);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 (г/км) - удельный пробеговый выброс i-го загрязняющего вещества k-й типы транспортного средства (определяется по </w:t>
      </w:r>
      <w:r>
        <w:rPr>
          <w:rFonts w:ascii="Arial" w:cs="Arial" w:eastAsia="Arial" w:hAnsi="Arial"/>
          <w:sz w:val="24"/>
          <w:szCs w:val="24"/>
        </w:rPr>
        <w:t xml:space="preserve">таблице № 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0"/>
          <w:szCs w:val="20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- фактическая наибольшая интенсивность движения, которая определяется как наибольшее количество транспортных средств каждой из k групп, проходящих через фиксированное сечение выбранного участка автодороги за единицу времени (20 минут) в двух направлениях по всем полосам движения;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0"/>
          <w:szCs w:val="20"/>
        </w:rPr>
        <w:t xml:space="preserve">kn</w:t>
      </w:r>
      <w:r>
        <w:rPr>
          <w:rFonts w:ascii="Arial" w:cs="Arial" w:eastAsia="Arial" w:hAnsi="Arial"/>
          <w:sz w:val="24"/>
          <w:szCs w:val="24"/>
        </w:rPr>
        <w:t xml:space="preserve"> - количество транспортных средств каждого из k типов, находящихся на всей протяженности обследуемой автодороги в "пробке" в течение 20 мин. При наличии "пробки" G</w:t>
      </w:r>
      <w:r>
        <w:rPr>
          <w:rFonts w:ascii="Arial" w:cs="Arial" w:eastAsia="Arial" w:hAnsi="Arial"/>
          <w:sz w:val="20"/>
          <w:szCs w:val="20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заменяется на G</w:t>
      </w:r>
      <w:r>
        <w:rPr>
          <w:rFonts w:ascii="Arial" w:cs="Arial" w:eastAsia="Arial" w:hAnsi="Arial"/>
          <w:sz w:val="20"/>
          <w:szCs w:val="20"/>
        </w:rPr>
        <w:t xml:space="preserve">kn</w:t>
      </w:r>
      <w:r>
        <w:rPr>
          <w:rFonts w:ascii="Arial" w:cs="Arial" w:eastAsia="Arial" w:hAnsi="Arial"/>
          <w:sz w:val="24"/>
          <w:szCs w:val="24"/>
        </w:rPr>
        <w:t xml:space="preserve">.;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k - количество групп транспортных средств;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поправочный коэффициент, учитывающий зависимость изменения количества выбрасываемых загрязняющих веществ от средней скорости движения автотранспортного потока (V</w:t>
      </w:r>
      <w:r>
        <w:rPr>
          <w:rFonts w:ascii="Arial" w:cs="Arial" w:eastAsia="Arial" w:hAnsi="Arial"/>
          <w:sz w:val="20"/>
          <w:szCs w:val="20"/>
        </w:rPr>
        <w:t xml:space="preserve">k,i</w:t>
      </w:r>
      <w:r>
        <w:rPr>
          <w:rFonts w:ascii="Arial" w:cs="Arial" w:eastAsia="Arial" w:hAnsi="Arial"/>
          <w:sz w:val="24"/>
          <w:szCs w:val="24"/>
        </w:rPr>
        <w:t xml:space="preserve"> (км/час) на выбранной автодороге (участке автодороги), определяемый по </w:t>
      </w:r>
      <w:r>
        <w:rPr>
          <w:rFonts w:ascii="Arial" w:cs="Arial" w:eastAsia="Arial" w:hAnsi="Arial"/>
          <w:sz w:val="24"/>
          <w:szCs w:val="24"/>
        </w:rPr>
        <w:t xml:space="preserve">таблице №3</w:t>
      </w:r>
      <w:r>
        <w:rPr>
          <w:rFonts w:ascii="Arial" w:cs="Arial" w:eastAsia="Arial" w:hAnsi="Arial"/>
          <w:sz w:val="24"/>
          <w:szCs w:val="24"/>
        </w:rPr>
        <w:t xml:space="preserve">. Минимальная скорость движения в "пробке" принимается равной 5 км/час. Для выбросов оксидов азота применяется коэффициент r</w:t>
      </w:r>
      <w:r>
        <w:rPr>
          <w:rFonts w:ascii="Arial" w:cs="Arial" w:eastAsia="Arial" w:hAnsi="Arial"/>
          <w:sz w:val="20"/>
          <w:szCs w:val="20"/>
        </w:rPr>
        <w:t xml:space="preserve">vk,l</w:t>
      </w:r>
      <w:r>
        <w:rPr>
          <w:rFonts w:ascii="Arial" w:cs="Arial" w:eastAsia="Arial" w:hAnsi="Arial"/>
          <w:sz w:val="24"/>
          <w:szCs w:val="24"/>
        </w:rPr>
        <w:t xml:space="preserve"> (NOx).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Определение валовых (годовых) выбросов от автотранспортных потоков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валовых (годовых) выбросов (т/г) на автодорогах (участках автодорог), включенных в перечень дорог программы обследований, выполняется на основе величин максимальных разовых выбросов (г/с), рассчитанных по </w:t>
      </w:r>
      <w:r>
        <w:rPr>
          <w:rFonts w:ascii="Arial" w:cs="Arial" w:eastAsia="Arial" w:hAnsi="Arial"/>
          <w:sz w:val="24"/>
          <w:szCs w:val="24"/>
        </w:rPr>
        <w:t xml:space="preserve">формуле (1)</w:t>
      </w:r>
      <w:r>
        <w:rPr>
          <w:rFonts w:ascii="Arial" w:cs="Arial" w:eastAsia="Arial" w:hAnsi="Arial"/>
          <w:sz w:val="24"/>
          <w:szCs w:val="24"/>
        </w:rPr>
        <w:t xml:space="preserve"> с применением показателей удельных пробеговых выбросов, приведенных в </w:t>
      </w:r>
      <w:r>
        <w:rPr>
          <w:rFonts w:ascii="Arial" w:cs="Arial" w:eastAsia="Arial" w:hAnsi="Arial"/>
          <w:sz w:val="24"/>
          <w:szCs w:val="24"/>
        </w:rPr>
        <w:t xml:space="preserve">таблице №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валовых (годовых) выбросов (т/г) на основании максимальных разовых выбросов (г/с) необходимо учитывать изменения выбросов в течение суток, недель и сезонов на протяжении года.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валового (годового) выброса i-го загрязняющего вещества для конкретной автодороги (участка автодороги) в теплый период года применяется формула (2):</w:t>
      </w:r>
    </w:p>
    <w:p>
      <w:pPr>
        <w:spacing w:after="120" w:before="24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0"/>
          <w:szCs w:val="20"/>
        </w:rPr>
        <w:t xml:space="preserve">Г,i</w:t>
      </w:r>
      <w:r>
        <w:rPr>
          <w:rFonts w:ascii="Arial" w:cs="Arial" w:eastAsia="Arial" w:hAnsi="Arial"/>
          <w:sz w:val="24"/>
          <w:szCs w:val="24"/>
        </w:rPr>
        <w:t xml:space="preserve"> = M</w:t>
      </w:r>
      <w:r>
        <w:rPr>
          <w:rFonts w:ascii="Arial" w:cs="Arial" w:eastAsia="Arial" w:hAnsi="Arial"/>
          <w:sz w:val="20"/>
          <w:szCs w:val="20"/>
        </w:rPr>
        <w:t xml:space="preserve">M,i</w:t>
      </w:r>
      <w:r>
        <w:rPr>
          <w:rFonts w:ascii="Arial" w:cs="Arial" w:eastAsia="Arial" w:hAnsi="Arial"/>
          <w:sz w:val="24"/>
          <w:szCs w:val="24"/>
        </w:rPr>
        <w:t xml:space="preserve"> · K</w:t>
      </w:r>
      <w:r>
        <w:rPr>
          <w:rFonts w:ascii="Arial" w:cs="Arial" w:eastAsia="Arial" w:hAnsi="Arial"/>
          <w:sz w:val="20"/>
          <w:szCs w:val="20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                                                                     (2)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 w:before="24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0"/>
          <w:szCs w:val="20"/>
        </w:rPr>
        <w:t xml:space="preserve">M,i</w:t>
      </w:r>
      <w:r>
        <w:rPr>
          <w:rFonts w:ascii="Arial" w:cs="Arial" w:eastAsia="Arial" w:hAnsi="Arial"/>
          <w:sz w:val="24"/>
          <w:szCs w:val="24"/>
        </w:rPr>
        <w:t xml:space="preserve"> - максимальный разовый выброс i-го загрязняющего вещества (г/с), определенный по </w:t>
      </w:r>
      <w:r>
        <w:rPr>
          <w:rFonts w:ascii="Arial" w:cs="Arial" w:eastAsia="Arial" w:hAnsi="Arial"/>
          <w:sz w:val="24"/>
          <w:szCs w:val="24"/>
        </w:rPr>
        <w:t xml:space="preserve">формуле (1)</w:t>
      </w:r>
      <w:r>
        <w:rPr>
          <w:rFonts w:ascii="Arial" w:cs="Arial" w:eastAsia="Arial" w:hAnsi="Arial"/>
          <w:sz w:val="24"/>
          <w:szCs w:val="24"/>
        </w:rPr>
        <w:t xml:space="preserve"> настоящей методики;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0"/>
          <w:szCs w:val="20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коэффициент пересчета максимального разового выброса в суммарный годовой выброс в зависимости от категории автодороги.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 автодороги определяется на основании результатов обследований структуры и интенсивности движения автотранспортных потоков, исходя из количественных показателей изменений интенсивности движения в течение суток: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1а - автодороги, за исключением транзитных дорог, для которых характерны один или два максимума интенсивности движения автотранспортных потоков (на 25 - 30% выше среднечасового дневного значения интенсивности), наблюдающиеся в утреннее (8 - 11 часов) и вечернее (17 - 20 часов) время;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2а - автодороги, за исключением транзитных дорог, для которых повышенная интенсивность движения автотранспортных потоков (с часовыми отклонениями до 10 - 20% от наибольшего часового значения интенсивности движения) наблюдается в период с 7 - 8 часов до 20 - 21 часов;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3т - транзитные автодороги, для которых наблюдается постепенное нарастание интенсивности движения автотранспортных потоков с 5 - 6 часов утра до 21 - 22 часов вечера (при интенсивности движения автотранспортных потоков более 3000 - 5000 авто/час) с сохранением не менее 10 - 15% объема интенсивности движения от среднечасового дневного значения интенсивности в ночное время (01 - 04 часа).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K</w:t>
      </w:r>
      <w:r>
        <w:rPr>
          <w:rFonts w:ascii="Arial" w:cs="Arial" w:eastAsia="Arial" w:hAnsi="Arial"/>
          <w:sz w:val="20"/>
          <w:szCs w:val="20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приведены в </w:t>
      </w:r>
      <w:r>
        <w:rPr>
          <w:rFonts w:ascii="Arial" w:cs="Arial" w:eastAsia="Arial" w:hAnsi="Arial"/>
          <w:sz w:val="24"/>
          <w:szCs w:val="24"/>
        </w:rPr>
        <w:t xml:space="preserve">таблице №4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расчета валового (годового) выброса загрязняющего вещества для конкретной автодороги (участка автодороги) в холодный период в </w:t>
      </w:r>
      <w:r>
        <w:rPr>
          <w:rFonts w:ascii="Arial" w:cs="Arial" w:eastAsia="Arial" w:hAnsi="Arial"/>
          <w:sz w:val="24"/>
          <w:szCs w:val="24"/>
        </w:rPr>
        <w:t xml:space="preserve">формуле (2)</w:t>
      </w:r>
      <w:r>
        <w:rPr>
          <w:rFonts w:ascii="Arial" w:cs="Arial" w:eastAsia="Arial" w:hAnsi="Arial"/>
          <w:sz w:val="24"/>
          <w:szCs w:val="24"/>
        </w:rPr>
        <w:t xml:space="preserve"> применяется дополнительный сезонный коэффициент 0,8.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в качестве способа обследования структуры и интенсивности движения видеофиксации по данным непрерывного автоматического учета на конкретной автодороге (участке автодороги) валовые выбросы i-го загрязняющего вещества от автотранспортного потока за текущий календарный год Q</w:t>
      </w:r>
      <w:r>
        <w:rPr>
          <w:rFonts w:ascii="Arial" w:cs="Arial" w:eastAsia="Arial" w:hAnsi="Arial"/>
          <w:sz w:val="20"/>
          <w:szCs w:val="20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рассчитываются по формуле (3) для любого характера движения и категории автодороги:</w:t>
      </w:r>
    </w:p>
    <w:p>
      <w:pPr>
        <w:spacing w:after="24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0"/>
          <w:szCs w:val="20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= Q</w:t>
      </w:r>
      <w:r>
        <w:rPr>
          <w:rFonts w:ascii="Arial" w:cs="Arial" w:eastAsia="Arial" w:hAnsi="Arial"/>
          <w:sz w:val="20"/>
          <w:szCs w:val="20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 + Q</w:t>
      </w:r>
      <w:r>
        <w:rPr>
          <w:rFonts w:ascii="Arial" w:cs="Arial" w:eastAsia="Arial" w:hAnsi="Arial"/>
          <w:sz w:val="20"/>
          <w:szCs w:val="20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,                                              (3)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0"/>
          <w:szCs w:val="20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 - валовые выбросы i-го загрязняющего вещества автотранспортным потоком за рабочие дни календарного года;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0"/>
          <w:szCs w:val="20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- валовые выбросы i-го загрязняющего вещества автотранспортным потоком за выходные, в том числе праздничные, дни календарного года.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Валовые выбросы i-го загрязняющего вещества автотранспортным потоком за рабочие дни календарного года рассчитываются по формуле (4):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>(4)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0,0036 соответствует пересчету из г/с в т/год;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- количество календарных рабочих дней в расчетном теплом периоде;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- значение максимального разового выброса за k-й час, рассчитанного по соответствующим значениям интенсивности и скорости движения в рабочие дни за теплый период;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- количество календарных рабочих дней в холодном периоде;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 - значение максимального разового выброса за k-й час, рассчитанного по соответствующим значениям интенсивности и скорости движения в рабочие дни за холодный период.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Валовый выброс i-го загрязняющего вещества на автодороге автотранспортным потоком за выходные дни календарного года рассчитывается по формуле (5):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>(5)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0.0036 соответствует пересчету из г/с в т/год;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- количество календарных выходных дней в расчетном теплом периоде;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 - значение максимального разового выброса за k-й час, рассчитанного по соответствующим значениям интенсивности и скорости движения в выходные дни за теплый период;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- количество календарных выходных дней в холодном периоде;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- значение максимального разового выброса за k-й час, рассчитанного по соответствующим значениям интенсивности и скорости движения в выходные дни за холодный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  <w:r>
        <w:rPr>
          <w:rFonts w:ascii="Arial" w:cs="Arial" w:eastAsia="Arial" w:hAnsi="Arial"/>
          <w:sz w:val="24"/>
          <w:szCs w:val="24"/>
        </w:rPr>
        <w:t xml:space="preserve">Рекомендуемый образец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учета характеристик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движущегося автотранспортного потока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(название автодороги, место и способ обследования,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направление движения)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(ширина проезжей части, количество полос движения)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04"/>
        <w:gridCol w:w="1273"/>
        <w:gridCol w:w="605"/>
        <w:gridCol w:w="605"/>
        <w:gridCol w:w="605"/>
        <w:gridCol w:w="605"/>
        <w:gridCol w:w="605"/>
        <w:gridCol w:w="1326"/>
        <w:gridCol w:w="1326"/>
        <w:gridCol w:w="1326"/>
      </w:tblGrid>
      <w:tr>
        <w:tc>
          <w:tcPr>
            <w:tcW w:type="dxa" w:w="19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Дата/рабочий, выходной день</w:t>
            </w:r>
          </w:p>
        </w:tc>
        <w:tc>
          <w:tcPr>
            <w:tcW w:type="dxa" w:w="12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подсчета, за период 20 минут</w:t>
            </w:r>
          </w:p>
        </w:tc>
        <w:tc>
          <w:tcPr>
            <w:tcW w:type="dxa" w:w="302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транспортных средств по типам</w:t>
            </w:r>
          </w:p>
        </w:tc>
        <w:tc>
          <w:tcPr>
            <w:tcW w:type="dxa" w:w="397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Скорость движения потока, км/ч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</w:t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&gt;12</w:t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&gt;3,5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Легковые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</w:t>
            </w:r>
          </w:p>
        </w:tc>
      </w:tr>
      <w:tr>
        <w:tc>
          <w:tcPr>
            <w:tcW w:type="dxa" w:w="1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Удельные пробеговые выбросы загрязняющих веществ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L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к,i (г/км) для различных типов транспортных средств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54"/>
        <w:gridCol w:w="433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</w:tblGrid>
      <w:tr>
        <w:tc>
          <w:tcPr>
            <w:tcW w:type="dxa" w:w="20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Типы транспортных средств</w:t>
            </w:r>
          </w:p>
        </w:tc>
        <w:tc>
          <w:tcPr>
            <w:tcW w:type="dxa" w:w="4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69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Выбросы M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L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к,i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г/км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Керосин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взвешенные частицы PM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2,5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Легковые автомобили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-3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Автофургоны и микроавтобусы, до 3,5 т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-3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автомобили, от 3,5 до 12 т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2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автомобили, свыше 12 т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2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Автобусы, свыше 3,5 т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0,767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Значения коэффициентов r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vk,l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учитывающих изменения выбросов в зависимости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средней скорости движения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3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</w:tblGrid>
      <w:tr>
        <w:tc>
          <w:tcPr>
            <w:tcW w:type="dxa" w:w="7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8"/>
            <w:gridSpan w:val="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Скорость движения V, км/ч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vk,l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1.35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vk,l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(NOx)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Значения K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для автодорог различных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17"/>
        <w:gridCol w:w="4561"/>
      </w:tblGrid>
      <w:tr>
        <w:tc>
          <w:tcPr>
            <w:tcW w:type="dxa" w:w="5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автодороги</w:t>
            </w:r>
          </w:p>
        </w:tc>
        <w:tc>
          <w:tcPr>
            <w:tcW w:type="dxa" w:w="4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K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n</w:t>
            </w:r>
          </w:p>
        </w:tc>
      </w:tr>
      <w:tr>
        <w:tc>
          <w:tcPr>
            <w:tcW w:type="dxa" w:w="5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1а</w:t>
            </w:r>
          </w:p>
        </w:tc>
        <w:tc>
          <w:tcPr>
            <w:tcW w:type="dxa" w:w="4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</w:t>
            </w:r>
          </w:p>
        </w:tc>
      </w:tr>
      <w:tr>
        <w:tc>
          <w:tcPr>
            <w:tcW w:type="dxa" w:w="5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2а</w:t>
            </w:r>
          </w:p>
        </w:tc>
        <w:tc>
          <w:tcPr>
            <w:tcW w:type="dxa" w:w="4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</w:t>
            </w:r>
          </w:p>
        </w:tc>
      </w:tr>
      <w:tr>
        <w:tc>
          <w:tcPr>
            <w:tcW w:type="dxa" w:w="5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3т</w:t>
            </w:r>
          </w:p>
        </w:tc>
        <w:tc>
          <w:tcPr>
            <w:tcW w:type="dxa" w:w="4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zzuytuevapsayyiej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dalil.kg/document/230043335</w:t>
      </w:r>
    </w:hyperlink>
  </w:p>
  <w:p>
    <w:pPr>
      <w:spacing w:after="0" w:before="40"/>
      <w:jc w:val="center"/>
    </w:pPr>
    <w:hyperlink w:history="1" r:id="rId4iermrkmytfow-d1cxi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elbpl6xfd8rxznsvor5" Type="http://schemas.openxmlformats.org/officeDocument/2006/relationships/hyperlink" Target="https://dalil.kg/document/230043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zzuytuevapsayyiejbj" Type="http://schemas.openxmlformats.org/officeDocument/2006/relationships/hyperlink" Target="https://dalil.kg/document/230043335" TargetMode="External"/><Relationship Id="rId4iermrkmytfow-d1cxi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2026-09-26T21:03:51.031Z</dcterms:created>
  <dcterms:modified xsi:type="dcterms:W3CDTF">2026-09-26T21:03:51.031Z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