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ВЫБРОСОВ ЗАГРЯЗНЯЮЩИХ ВЕЩЕСТВ ПРИ СЖИГАНИИ ТОПЛИВА В КОТЛАХ ПРОИЗВОДИТЕЛЬНОСТЬЮ ДО 30 Т/Ч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Методика предназначена для расчета выбросов вредных веществ с газообразными продуктами сгорания при сжигании твердого топлива, мазута и газа в топках, действующих промышленных и коммунальных котлоагрегатов и бытовых теплогенераторов (малолитражные отопительные котлы, отопительно-варочные аппараты, печи).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частицы. Расчет выбросов твердых частиц летучей золы и недогоревшего топлива (т/год, г/с), выбрасываемых в атмосферу с дымовыми газами котлоагрегатов в единицу времени при сжигании твердого топлива и мазута, выполняется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натурального топлива (т/год, г/с);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зольность топлива в рабочем состоянии (%); з – доля твердых частиц, улавливаемых в золоуловителях;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 = 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/(100 – 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 – доля золы топлива в уносе;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 – содержание горючих в уносе (%).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, з принимаются по фактическим средним показателям при отсутствии этих данных Аr определяется по характеристикам сжигаемого топлива (см. </w:t>
      </w: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), з – по техническим данным применяемых золоуловителей, 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– по табл. 1.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ч и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типа топки и топлива.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2"/>
        <w:gridCol w:w="2547"/>
        <w:gridCol w:w="2152"/>
        <w:gridCol w:w="2158"/>
      </w:tblGrid>
      <w:tr>
        <w:tc>
          <w:tcPr>
            <w:tcW w:type="dxa" w:w="3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топки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кг/ГДж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неподвижной решеткой и ручным забросом топлива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и 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Антрациты: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 и АМ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АРШ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пневмомеханическими забрасывателями и неподвижной решеткой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и 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 АРШ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цепной решеткой прямого хода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 АС и АМ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и 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Шахтная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 топливо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Шахтно-цепная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 кусковой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Наклонно-переталкивающая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Эстонские сланцы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Слоевые топки бытовых теплоагрегаторов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Антрацит, тощие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Камерные топки: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паровые и водогрейные котлы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попутный и кокосовый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теплогенераторы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Легкое жидкое (печное) топливо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Оксиды серы.</w:t>
      </w:r>
      <w:r>
        <w:rPr>
          <w:rFonts w:ascii="Arial" w:cs="Arial" w:eastAsia="Arial" w:hAnsi="Arial"/>
          <w:sz w:val="24"/>
          <w:szCs w:val="24"/>
        </w:rPr>
        <w:t xml:space="preserve">Расчет выбросов оксидов серы в пересчете на 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(т/год, т/ч, г/с), выбрасываемых в атмосферу с дымовыми газами котлоагрегатов в единицу времени, выполняется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натурального твердого и жидкого (т/год, т/ч, г/с) и газообразного (тыс.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/год,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/ч, л/с) топлива;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содержание серы в топливе в рабочем состоянии (%; для газообразного топлива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- доля оксидов серы, связываемых летучей золой топлива. Для эстонских и ленинградских сланцев принимается равной 0,8; остальных сланцев – 0,5; углей Канско-Ачинского бассейна – 0,2 (березовских – 0,5); торфа – 0,15; экибастузских углей – 0,02; прочих углей – 0,1; мазута – 0,02; газа – 0,0; </w:t>
      </w:r>
      <w:r>
        <w:rPr>
          <w:rFonts w:ascii="Arial" w:cs="Arial" w:eastAsia="Arial" w:hAnsi="Arial"/>
          <w:sz w:val="24"/>
          <w:szCs w:val="24"/>
        </w:rPr>
        <w:t xml:space="preserve">- доля оксидов серы, улавливаемых в золоуловителе. Для сухих золоуловителей принимается равной нулю, для мокрых – в зависимости от щелочности орошающей воды.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топливе сероводорода расчет выбросов дополнительного количества оксидов серы в пересчете на 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ведется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[H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S] – содержание сероводорода в топливе (%).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Оксид углерода. Расчет выбросов углерода в единицу времени (т/год, г/с) выполняется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(4)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топлива (т/год,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/год, г/с, л/с);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 – выход оксида углерода при сжигании топлива (кг/т, кг/тыс.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топлива) –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потери теплоты вследствие химической неполноты сгорания топлива (%);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долю потери теплоты вследствие химической неполноты сгорания топлива, обусловленной наличием в продуктах сгорания оксида углерода. Для твердого топлива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= 1, для газа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= 0,5 для мазута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= 0,65; </w:t>
      </w:r>
      <w:r>
        <w:rPr>
          <w:rFonts w:ascii="Arial" w:cs="Arial" w:eastAsia="Arial" w:hAnsi="Arial"/>
          <w:sz w:val="24"/>
          <w:szCs w:val="24"/>
        </w:rPr>
        <w:t xml:space="preserve">- низшая теплота сгорания топлива в рабочем состоянии (МДж/кг, МДж/м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потери теплоты вследствие механической неполноты сгорания топлива (%).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эксплуатационных данных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принимаются по табл. 2.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оценка выброса оксида углерода (т/год, г/с) может проводиться по формуле: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 – количество оксида углерода на единицу теплоты, выделяющейся при горении топлива (кг/ГДж); принимается по табл.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Оксиды азота.</w:t>
      </w:r>
      <w:r>
        <w:rPr>
          <w:rFonts w:ascii="Arial" w:cs="Arial" w:eastAsia="Arial" w:hAnsi="Arial"/>
          <w:sz w:val="24"/>
          <w:szCs w:val="24"/>
        </w:rPr>
        <w:t xml:space="preserve">Количество оксидов азота (в пересчете на 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выбрасываемых в единицу времени (т/год, г/с), рассчитывается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(7)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расход натурального топлива за рассматриваемый период времени (т/год,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/год, г/с, л/с); </w:t>
      </w:r>
      <w:r>
        <w:rPr>
          <w:rFonts w:ascii="Arial" w:cs="Arial" w:eastAsia="Arial" w:hAnsi="Arial"/>
          <w:sz w:val="24"/>
          <w:szCs w:val="24"/>
        </w:rPr>
        <w:t xml:space="preserve">- теплота сгорания натурального топлива (МДж/кг, МДж/м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- параметр, характеризующий количество оксидов азота, образующихся из 1 ГДж тепла (кг/ГДж); в – коэффициент, зависящий от степени снижения выбросов оксидов азота в результате применения технических решений.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</w:t>
      </w:r>
      <w:r>
        <w:rPr>
          <w:rFonts w:ascii="Arial" w:cs="Arial" w:eastAsia="Arial" w:hAnsi="Arial"/>
          <w:sz w:val="24"/>
          <w:szCs w:val="24"/>
        </w:rPr>
        <w:t xml:space="preserve">определяется по графикам (см. рис. 1.) для различных видов топлива в зависимости от номинальной нагрузки котлоагрегатов. При нагрузке котла, отличающейся от номинальной, </w:t>
      </w:r>
      <w:r>
        <w:rPr>
          <w:rFonts w:ascii="Arial" w:cs="Arial" w:eastAsia="Arial" w:hAnsi="Arial"/>
          <w:sz w:val="24"/>
          <w:szCs w:val="24"/>
        </w:rPr>
        <w:t xml:space="preserve">следует умножить на </w:t>
      </w:r>
      <w:r>
        <w:rPr>
          <w:rFonts w:ascii="Arial" w:cs="Arial" w:eastAsia="Arial" w:hAnsi="Arial"/>
          <w:sz w:val="24"/>
          <w:szCs w:val="24"/>
        </w:rPr>
        <w:t xml:space="preserve">или на </w:t>
      </w:r>
      <w:r>
        <w:rPr>
          <w:rFonts w:ascii="Arial" w:cs="Arial" w:eastAsia="Arial" w:hAnsi="Arial"/>
          <w:sz w:val="24"/>
          <w:szCs w:val="24"/>
        </w:rPr>
        <w:t xml:space="preserve">, где D</w:t>
      </w:r>
      <w:r>
        <w:rPr>
          <w:rFonts w:ascii="Arial" w:cs="Arial" w:eastAsia="Arial" w:hAnsi="Arial"/>
          <w:sz w:val="24"/>
          <w:szCs w:val="24"/>
        </w:rPr>
        <w:t xml:space="preserve">н,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ф </w:t>
      </w:r>
      <w:r>
        <w:rPr>
          <w:rFonts w:ascii="Arial" w:cs="Arial" w:eastAsia="Arial" w:hAnsi="Arial"/>
          <w:sz w:val="24"/>
          <w:szCs w:val="24"/>
        </w:rPr>
        <w:t xml:space="preserve">– соответственно номинальная и фактическая паропроизводительность (т/ч); Q</w:t>
      </w:r>
      <w:r>
        <w:rPr>
          <w:rFonts w:ascii="Arial" w:cs="Arial" w:eastAsia="Arial" w:hAnsi="Arial"/>
          <w:sz w:val="24"/>
          <w:szCs w:val="24"/>
        </w:rPr>
        <w:t xml:space="preserve">н,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– соответственно номинальная и фактическая мощность (кВт).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топок котлов малой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8"/>
        <w:gridCol w:w="3344"/>
        <w:gridCol w:w="1273"/>
        <w:gridCol w:w="1027"/>
        <w:gridCol w:w="1195"/>
      </w:tblGrid>
      <w:tr>
        <w:tc>
          <w:tcPr>
            <w:tcW w:type="dxa" w:w="3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топок и котла</w:t>
            </w:r>
          </w:p>
        </w:tc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цепной решеткой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Шахтно-цепная топка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Донецкий антраци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1,5-1,6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13,5/10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 кусковой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пневмомеханическими разрабатывателями и цепной решеткой обратного хода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типа кузнецких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типа донецких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6/3,5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5,5/4</w:t>
            </w:r>
          </w:p>
        </w:tc>
      </w:tr>
      <w:tr>
        <w:tc>
          <w:tcPr>
            <w:tcW w:type="dxa" w:w="3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пневмомеханическими забрасывателями и цепной решеткой обратного хода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угли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6,5/4,5</w:t>
            </w:r>
          </w:p>
        </w:tc>
      </w:tr>
      <w:tr>
        <w:tc>
          <w:tcPr>
            <w:tcW w:type="dxa" w:w="3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пневмомеханичсеки-ми забрасываетелями и неподвижной решеткой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Донецкий антрацит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1,6-1,7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13,5/10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 типа подмосковных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1,4-1,5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9/7,5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 типа бородинских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1,4-1,5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6/3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типа кузнецких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1,4-1,5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5,5/3</w:t>
            </w:r>
          </w:p>
        </w:tc>
      </w:tr>
      <w:tr>
        <w:tc>
          <w:tcPr>
            <w:tcW w:type="dxa" w:w="3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Шахтная топка с наклонной решеткой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Дрова, дробленые отходы, опилки, торф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скоростного горения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Дрова, щепа, опилки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4/2</w:t>
            </w:r>
          </w:p>
        </w:tc>
      </w:tr>
      <w:tr>
        <w:tc>
          <w:tcPr>
            <w:tcW w:type="dxa" w:w="3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Слоеная топка котла паропроизводительностью более 2 т/ч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Эстонские сланцы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Камерная топка с твердым шлакоудалением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угли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Фрезерный торф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3/1,5</w:t>
            </w:r>
          </w:p>
        </w:tc>
      </w:tr>
      <w:tr>
        <w:tc>
          <w:tcPr>
            <w:tcW w:type="dxa" w:w="3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Камерная топка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природный,попутный)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кусковой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Доменный газ 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графе 3 меньшие значения – для парогенераторов производительностью более 10 т/ч; в графе 5 большие значения – при отсутствии средств уменьшения уноса, меньшие – при остром дутье и наличии возврата уноса, а также для котлов производительностью 25 – 35 т/ч.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0,25         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0,20 3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0,15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0,10 1 Рис. 1. Зависимость </w:t>
      </w:r>
      <w:r>
        <w:rPr>
          <w:rFonts w:ascii="Arial" w:cs="Arial" w:eastAsia="Arial" w:hAnsi="Arial"/>
          <w:sz w:val="24"/>
          <w:szCs w:val="24"/>
        </w:rPr>
        <w:t xml:space="preserve">от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 тепловой мощности (а)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 Q парапроизводители (б)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0,05 Q</w:t>
      </w:r>
      <w:r>
        <w:rPr>
          <w:rFonts w:ascii="Arial" w:cs="Arial" w:eastAsia="Arial" w:hAnsi="Arial"/>
          <w:sz w:val="24"/>
          <w:szCs w:val="24"/>
        </w:rPr>
        <w:t xml:space="preserve">’</w:t>
      </w:r>
      <w:r>
        <w:rPr>
          <w:rFonts w:ascii="Arial" w:cs="Arial" w:eastAsia="Arial" w:hAnsi="Arial"/>
          <w:sz w:val="24"/>
          <w:szCs w:val="24"/>
        </w:rPr>
        <w:t xml:space="preserve">          котлоагрегата.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 – природный газ,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 – антрацит; 3 – бурый уголь;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0 2 4 6 8 10 20 40 60 100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 кВт         </w:t>
      </w:r>
      <w:r>
        <w:rPr>
          <w:rFonts w:ascii="Arial" w:cs="Arial" w:eastAsia="Arial" w:hAnsi="Arial"/>
          <w:sz w:val="24"/>
          <w:szCs w:val="24"/>
        </w:rPr>
        <w:t xml:space="preserve"> 4 – каменный уголь.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100 200 400 1000 2000 10000 20000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’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0,25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б)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0,20 3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0,15                 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0,10 1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0,25 0,5 0,7 1 2 3 4 6 8 10 15 20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 т/ч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имеются данные о содержании оксидов азота в дымовых газах (%), то выброс (кг/год) вычисляется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(8)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известное содержание оксидов азота в дымовых газах (% по объему). Значения </w:t>
      </w:r>
      <w:r>
        <w:rPr>
          <w:rFonts w:ascii="Arial" w:cs="Arial" w:eastAsia="Arial" w:hAnsi="Arial"/>
          <w:sz w:val="24"/>
          <w:szCs w:val="24"/>
        </w:rPr>
        <w:t xml:space="preserve">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для маломощных котлов приведены в табл. 3,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продуктов сгорания топлива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/кг) при известном б (б – коэффициент избытка воздуха, см. табл. 2.) </w:t>
      </w:r>
      <w:r>
        <w:rPr>
          <w:rFonts w:ascii="Arial" w:cs="Arial" w:eastAsia="Arial" w:hAnsi="Arial"/>
          <w:sz w:val="24"/>
          <w:szCs w:val="24"/>
        </w:rPr>
        <w:t xml:space="preserve">. Значения </w:t>
      </w:r>
      <w:r>
        <w:rPr>
          <w:rFonts w:ascii="Arial" w:cs="Arial" w:eastAsia="Arial" w:hAnsi="Arial"/>
          <w:sz w:val="24"/>
          <w:szCs w:val="24"/>
        </w:rPr>
        <w:t xml:space="preserve">для некоторых топлив даны в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</w:t>
      </w:r>
      <w:r>
        <w:rPr>
          <w:rFonts w:ascii="Arial" w:cs="Arial" w:eastAsia="Arial" w:hAnsi="Arial"/>
          <w:sz w:val="24"/>
          <w:szCs w:val="24"/>
        </w:rPr>
        <w:t xml:space="preserve">таблицах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приведены основные характеристики твердых, жидких и газообразных топлив.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Образование токсичных веществ в процессе выгорания топлив в отопительных котлах мощностью до 85 кВт.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1751"/>
        <w:gridCol w:w="1771"/>
        <w:gridCol w:w="1620"/>
        <w:gridCol w:w="1111"/>
        <w:gridCol w:w="1221"/>
        <w:gridCol w:w="989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котла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горения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мкг/100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%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 –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Каменный уголь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выгорания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период горения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КЧМ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Розжиг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Догорание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погрузки угля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погрузки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период горения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17,2-13,4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Разгорание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90-110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Догорание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25-45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КЧМ-3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 секций)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1,20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1,40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1,80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2,20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2,8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ТПБ (легкое жидкое топливо)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1,25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1,40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Характеристка топлив (при нормальных условиях)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3"/>
        <w:gridCol w:w="2229"/>
        <w:gridCol w:w="1107"/>
        <w:gridCol w:w="1111"/>
        <w:gridCol w:w="955"/>
        <w:gridCol w:w="1111"/>
        <w:gridCol w:w="961"/>
      </w:tblGrid>
      <w:tr>
        <w:tc>
          <w:tcPr>
            <w:tcW w:type="dxa" w:w="27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класс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кг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Республика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Жыргалан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Кок-Жангак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Сулюктинское рудоуправление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Кызылкийское рудоуправление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Таджикистан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1/2, Шураб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Шураб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Узбекистан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Средазуголь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Ангренский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Шаргуньскоерудоуправление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Карагандинский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К2Р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Куучекинское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КСШ, К2СШ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Экибастузский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К, К2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Ленгерское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Тургайский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Кушмурунское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Б3Р, БЭСШ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Приозерное месторождение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Российс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Федераци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концентрат энергетический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Ж, К, ОС промпродукт 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АШ, АСШ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Волынское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ГСШ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Межреченское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ГЖР, ГЖ 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Днепровский бассейн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Буруголь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трижевский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Стрижевская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Казацкая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Ватутинская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Александруголь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Головковский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Балаховский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Бандуровский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Светлопольская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Верболозовская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Ново-Дмитровское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Подмосковный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Б2Р,Б20МСШ, 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Тулуголь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Щекинская (21)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(1)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(3)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Мостовская (12)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Мостовская (13)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Новомосковкуголь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(1)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Рассошинская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Горняк (3)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Красноармейская (2)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Дубовская (15)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Дружба (4)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Зубовская (1)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Соколовская (5)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Донская (47)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Скопинское шахтоуправление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Нелидовское шахтоуправление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Печорский бассейн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Интауголь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 отсев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Воркутауголь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ЖР отсев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Кизеловский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Челябинский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Буланашское месторорждение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Г6Р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Дальне-Буланашское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Веселовско-Богословское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Волчанское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Егоршинское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Южноуральскицй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шлам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Горловский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7,04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Инское шахтоуправление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Ярославского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Кольчугинское шахтоуправление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6,54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Полысаевская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7,17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6,77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Пионерка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Распадская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Байдаевская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Зыряновская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Новокузнецкая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Комсомолец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С.М. Кирова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 + Гпромпродукт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ЦОФ Беловская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промпродукт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Чертинская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Красногорская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КЖ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ЦОФ Зиминка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КЖ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Коксовая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Северная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Тайбинская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ЦОФ Киселевская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Судженская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Томусинская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Анжерская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СС2ССКО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Ягуновская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Краснокаменская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В.И. Ленина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 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Шевякова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Вахрушева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Киселевская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Волкова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Шуштулепская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Орджоникидзе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Димитрова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Бунгурское шахтоуправление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Листвянская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Бунгурская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Редаково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 углекоп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Маганак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Кузнецкий бассейн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(открытая добыча)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ТМСШ, 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Месторождения: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Уропское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Новоказанское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 ГЖ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6,87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 ГЖ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Ерунаковское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Сибиргинское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 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Чумушское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 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Моховсктй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Колмогоровский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Грамотеинский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Новосергиевский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7,94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Прокопьевский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Вахрушева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Киселевский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Черниговский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50 лет Октября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Томусинский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Междуреченский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Сибиргинский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Листвянский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ТР, ТМСШ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Красногорский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Краснобродский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ТР, ТМ, ТСШ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Канско-Ачинский ба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сейн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Ирша-Бородинский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Назаревский разрез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Березовское меторождение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Барандатское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Игатское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Боготольское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Большесырское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Минусинский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ДМСШ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Изыхское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Аскизское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Иркутский бассейн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Черемховское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ДМСШ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Забитуйское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Азейский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Тулунский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Мугунское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Каахемское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Элегестинское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Бурятия (РФ)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Гусиноозерское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Холбольждинский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Баянгорское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Никольское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Д, ДГ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Сангарское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Джебарики-Хая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Аркагалинское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Верхне-Аркагалинское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Эрозионное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Буор-Кемюсское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Бухта Угольная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Нерюнгринское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Анадырское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Кангаласское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Куларское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Ланковское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Уядинское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Ткибули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Ткварчели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концентрат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ромпродукт и шлам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Артемовское месторождение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Б3КОМ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Партизанский (Сучанский)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Ж6Р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Ж, Т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Раздольненский бассейн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Липовецкое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Огоджинское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по Сахалину           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Б3Р, Б3,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Углегорский район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Алксандровский район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Макарьевка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Мгачи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Арково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Макаровский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Макаровская           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Тихмененская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Шахтоуправление Лермонтовское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Б3Р, Б3СШ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Шебунино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Горнозаводская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 концентрат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 Новиковский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Южно-Сахалинская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Долинская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ДСШ, Д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сланцы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Эстонсланец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– 100 мм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Ленинградсланец: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№ 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Каширская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Болтышское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Мелинитовые сланцы Карпат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Росторф в целом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Ленинградское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Шатурское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Тюменское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Смоленское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топлива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Малосернистый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Высокосернистый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Стабилизированная нефть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Солярное масло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4_smvtzfdar1otpk8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dalil.kg/document/230043367</w:t>
      </w:r>
    </w:hyperlink>
  </w:p>
  <w:p>
    <w:pPr>
      <w:spacing w:after="0" w:before="40"/>
      <w:jc w:val="center"/>
    </w:pPr>
    <w:hyperlink w:history="1" r:id="rIdtvivmpbphlt4dntomis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4_smvtzfdar1otpk8m_" Type="http://schemas.openxmlformats.org/officeDocument/2006/relationships/hyperlink" Target="https://dalil.kg/document/230043367" TargetMode="External"/><Relationship Id="rIdtvivmpbphlt4dntomis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2026-09-26T21:04:02.391Z</dcterms:created>
  <dcterms:modified xsi:type="dcterms:W3CDTF">2026-09-26T21:04:02.391Z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