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2026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экспортного контроля и лицензирования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 и автоматизации административных процессов выдачи разрешительных документов, необходимых для осуществления внешнеэкономической деятельности, в соответствии со </w:t>
      </w:r>
      <w:hyperlink w:history="1" r:id="rIdyrhqbifv6mapafplvp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экспортном контроле», статьями </w:t>
      </w:r>
      <w:hyperlink w:history="1" r:id="rIdmsf7nr7m2sryu29pthd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dngibuscotxuynvkfv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dm3l5wuvghbfxbkv2z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«единого окна» от 20 апреля 2021 года № 157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24cbxfhhjyx-bo8gyh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единого окна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документ</w:t>
      </w:r>
      <w:r>
        <w:rPr>
          <w:rFonts w:ascii="Arial" w:cs="Arial" w:eastAsia="Arial" w:hAnsi="Arial"/>
          <w:sz w:val="24"/>
          <w:szCs w:val="24"/>
        </w:rPr>
        <w:t xml:space="preserve"> – цифровая запись, неизменность которой обеспечивается с помощью цифровой подписи или идентификатора, используемых в соответствии с правилами системы идентификации;»;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подпись</w:t>
      </w:r>
      <w:r>
        <w:rPr>
          <w:rFonts w:ascii="Arial" w:cs="Arial" w:eastAsia="Arial" w:hAnsi="Arial"/>
          <w:sz w:val="24"/>
          <w:szCs w:val="24"/>
        </w:rPr>
        <w:t xml:space="preserve"> – информация в цифровой форме, которая присоединена к другой информации в цифровой форме и (или) логически связана с ней и используется для обеспечения неизменности цифрового документа и определения автора цифрового документа;»;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к вышеуказанному </w:t>
      </w:r>
      <w:hyperlink w:history="1" r:id="rId5jkaqghvkdbro2smdmn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is7mop0pp1tuknhyzj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hhzw6a2uzijqn4ma90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осуществления экспортного контроля за контролируемой продукцией в Кыргызской Республике» от 13 сентября 2024 года № 573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1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Перечень товаров, при осуществлении внешнеэкономической деятельности не относящихся к контролируемой продукции, утверждается уполномоченным государственным органом в сфере таможенного дела по согласованию с уполномоченным государственным органом в сфере экспортного контроля и носит рекомендательный характер для целей первичной идентификации товаров при совершении таможенных операций и проведении таможенного контроля.».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csp-wvztmp2lxujwm2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выдачи электронных разрешительных и иных документов для осуществления внешнеэкономической деятельности по принципу «единого окна» от 18 июня 2025 года № 349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ci97hvykfphyt_ai_i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электронных разрешительных и иных документов для осуществления внешнеэкономической деятельности по принципу «единого окна»,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 слова «Tulpar System»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в подпункте 2 слово «ИСЭО» заменить словом «ИСЕО»;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4,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идентификационное заключение </w:t>
      </w:r>
      <w:r>
        <w:rPr>
          <w:rFonts w:ascii="Arial" w:cs="Arial" w:eastAsia="Arial" w:hAnsi="Arial"/>
          <w:sz w:val="24"/>
          <w:szCs w:val="24"/>
        </w:rPr>
        <w:t xml:space="preserve">– документ, выдаваемый уполномоченным государственным органом, устанавливающий принадлежность либо непринадлежность объекта внешнеэкономической деятельности к продукции, включенной в перечни контролируемых товаров, а также определяющий применимость к нему мер экспортного контроля и нетарифного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ИСЕО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лицо, работающее</w:t>
      </w:r>
      <w:r>
        <w:rPr>
          <w:rFonts w:ascii="Arial" w:cs="Arial" w:eastAsia="Arial" w:hAnsi="Arial"/>
          <w:sz w:val="24"/>
          <w:szCs w:val="24"/>
        </w:rPr>
        <w:t xml:space="preserve"> в сервис-центре по работе с обращениями, осуществляющее функции приема и регистрации заявлений на получение разрешительного документа, создания электронного заявления и выдачи подписанного разрешительного документа;»;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11, 12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разрешительный документ на бумажном носителе</w:t>
      </w:r>
      <w:r>
        <w:rPr>
          <w:rFonts w:ascii="Arial" w:cs="Arial" w:eastAsia="Arial" w:hAnsi="Arial"/>
          <w:sz w:val="24"/>
          <w:szCs w:val="24"/>
        </w:rPr>
        <w:t xml:space="preserve"> – оформленный на бумажном носителе документ установленной формы (лицензия, разрешение), выданный уполномоченным государственным органом на экспорт/импорт/транзит продукции двойного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разъяснение </w:t>
      </w:r>
      <w:r>
        <w:rPr>
          <w:rFonts w:ascii="Arial" w:cs="Arial" w:eastAsia="Arial" w:hAnsi="Arial"/>
          <w:sz w:val="24"/>
          <w:szCs w:val="24"/>
        </w:rPr>
        <w:t xml:space="preserve">– документ (письмо) уполномоченного государственного органа, сформированный в ИСЕО, содержащий пояснения по вопросам применения мер экспортного контроля и нетарифного регулирования в отношении объектов внешнеэкономической деятельности;»;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14 слова «СМС-сообщений на мобильные телефоны и/или»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15 слова «Министерстве экономики и коммерции Кыргызской Республики» заменить словами «Государственной таможенной службе при Кабинете Министров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«7. Онлайн-сервис: </w:t>
      </w:r>
      <w:r>
        <w:rPr>
          <w:rFonts w:ascii="Arial" w:cs="Arial" w:eastAsia="Arial" w:hAnsi="Arial"/>
          <w:sz w:val="24"/>
          <w:szCs w:val="24"/>
        </w:rPr>
        <w:t xml:space="preserve">https://signup.trade.kg/</w:t>
      </w:r>
      <w:r>
        <w:rPr>
          <w:rFonts w:ascii="Arial" w:cs="Arial" w:eastAsia="Arial" w:hAnsi="Arial"/>
          <w:sz w:val="24"/>
          <w:szCs w:val="24"/>
        </w:rPr>
        <w:t xml:space="preserve"> предоставляет всем участникам внешнеэкономической деятельности возможность зарегистрироваться в ИСЕО онлайн для подачи заявок на получение разрешительных и других необходимых документов.»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«10.</w:t>
      </w:r>
      <w:r>
        <w:rPr>
          <w:rFonts w:ascii="Arial" w:cs="Arial" w:eastAsia="Arial" w:hAnsi="Arial"/>
          <w:sz w:val="24"/>
          <w:szCs w:val="24"/>
        </w:rPr>
        <w:t xml:space="preserve"> Интерфейс ИСЕО для участника ВЭД создан для обеспечения возможности оформления заявления непосредственно самим участником ВЭД без обращения в Центр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единого окна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Подача электронного заявления в ИСЕО на получение электронного разрешительного документа участником ВЭД может производиться следующими способами: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самостоятельная подача электронного заявления при помощи веб-интерфейса ИСЕО;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онлайн подача посредством удаленного оператора Центра «единого окна»;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подача через Центр «единого окна». В данном случае оператор ИСЕО производит предварительную проверку качества документов (читаемые, чистые, без механических повреждений или нарушений целостности), прилагаемых к заявлению. При отсутствии замечаний к качеству прилагаемых к заявлению сопроводительных документов оператор ИСЕО регистрирует участника ВЭД в ИСЕО, создает электронную версию заявления, подписывает своей цифровой подписью и подает заявление в ИСЕО.»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Каждый лист представленных копий документов подлежит заверению подписью и печатью заявителя в случае подачи документов через ИСЕО. При подаче документов через личный кабинет заверение подписью и печатью не требуется. К документам, составленным на иностранных языках, в установленном порядке прилагаются нотариально заверенные переводы на государственном или официальном языках.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персональную ответственность за достоверность представленных документов, правильность и полноту перевода, а также соответствие перевода оригиналу.»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«25. Уполномоченный государственный орган-эксперт</w:t>
      </w:r>
      <w:r>
        <w:rPr>
          <w:rFonts w:ascii="Arial" w:cs="Arial" w:eastAsia="Arial" w:hAnsi="Arial"/>
          <w:sz w:val="24"/>
          <w:szCs w:val="24"/>
        </w:rPr>
        <w:t xml:space="preserve"> в течение 3 рабочих дней с даты регистрации электронного заявления осуществляет экспертизу представленных сопроводительных документов для идентификации заявленного товара и подготавливает проект идентификационного заключения либо мотивированного отказа в его выдаче по формам согласно приложениям 2, 3, 4 к настоящему Положению. Сформированный документ представляется на подпись должностному лицу 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уполномоченного государственного органа-эксперта</w:t>
      </w:r>
      <w:r>
        <w:rPr>
          <w:rFonts w:ascii="Arial" w:cs="Arial" w:eastAsia="Arial" w:hAnsi="Arial"/>
          <w:sz w:val="24"/>
          <w:szCs w:val="24"/>
        </w:rPr>
        <w:t xml:space="preserve">, обладающему соответствующими полномочиями, и выдается заявителю посредством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орган-эксперт несет полную ответственность за экспертизу документов для выдачи разрешительного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Посредством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ИСЕО </w:t>
      </w:r>
      <w:r>
        <w:rPr>
          <w:rFonts w:ascii="Arial" w:cs="Arial" w:eastAsia="Arial" w:hAnsi="Arial"/>
          <w:sz w:val="24"/>
          <w:szCs w:val="24"/>
        </w:rPr>
        <w:t xml:space="preserve">осуществляется автоматизированный анализ выданных идентификационных заключений и формирование отчетности, которая ежемесячно до 5 числа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месяца, следующего за отчетным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направляется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Администрацию Президента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2026 года №25 (3785)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«Приложение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 ведомств/организаций, взаимодействующих при оформлении документов через информационную систему «Единое окно»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3"/>
        <w:gridCol w:w="4729"/>
        <w:gridCol w:w="4855"/>
      </w:tblGrid>
      <w:tr>
        <w:tc>
          <w:tcPr>
            <w:tcW w:type="dxa" w:w="5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ведомства/организации</w:t>
            </w:r>
          </w:p>
        </w:tc>
        <w:tc>
          <w:tcPr>
            <w:tcW w:type="dxa" w:w="4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выдаваемого или регистрируемого документа</w:t>
            </w:r>
          </w:p>
        </w:tc>
      </w:tr>
      <w:tr>
        <w:tc>
          <w:tcPr>
            <w:tcW w:type="dxa" w:w="5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товаров и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экспорт/импорт товаров и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</w:tr>
      <w:tr>
        <w:tc>
          <w:tcPr>
            <w:tcW w:type="dxa" w:w="5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перерабатывающей промышленности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ЕАЭС форм 1, 2, 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форм 5а, 5b, 5с, 5d, 5е, 5f, 5g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(импорт), вывоз (экспорт) и транзит через территорию Кыргызской Республики перемещаемых товаров, подконтрольных государственному ветеринарному контролю и надзору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и инновационных технологий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</w:t>
            </w:r>
          </w:p>
        </w:tc>
      </w:tr>
      <w:tr>
        <w:tc>
          <w:tcPr>
            <w:tcW w:type="dxa" w:w="5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лекарственного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и безопасности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наркотических средств/психотропных веществ/прекурсоров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экспорт/импорт наркотических средств/психотропных веществ/прекурсоров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органов тканей человека, крови и ее компонентов, образцов биологических материалов человека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происхождении товара</w:t>
            </w:r>
          </w:p>
        </w:tc>
      </w:tr>
      <w:tr>
        <w:tc>
          <w:tcPr>
            <w:tcW w:type="dxa" w:w="5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органы по сертификации продукции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5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Кабинете Министров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этилового спирта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алкогольной продукции</w:t>
            </w:r>
          </w:p>
        </w:tc>
      </w:tr>
      <w:tr>
        <w:tc>
          <w:tcPr>
            <w:tcW w:type="dxa" w:w="5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в Кыргызскую Республику или вывоз за пределы Кыргызской Республики объектов животного и растительного мира, их частей или дериватов, подпадающих под действие конвенции CITES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</w:tr>
      <w:tr>
        <w:tc>
          <w:tcPr>
            <w:tcW w:type="dxa" w:w="5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Экспертные организации/уполномоченные государственные органы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заключение/разрешительный документ на экспорт и импорт товаров, включенных в Единый перечень товаров, к которым применяются меры нетарифного регулирования в торговле с третьими странами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органы контроля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безопасности конструкции транспортного средства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служебного гражданского оружия, его основных (составных) частей и патронов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испытательные лаборатории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лабораторных испытаний Кыргызской Республики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Нотификация о характеристиках шифровальных (криптографических) средств и товаров, их содержащих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11iiw0qre7_v9hcwl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dalil.kg/document/230043474</w:t>
      </w:r>
    </w:hyperlink>
  </w:p>
  <w:p>
    <w:pPr>
      <w:spacing w:after="0" w:before="40"/>
      <w:jc w:val="center"/>
    </w:pPr>
    <w:hyperlink w:history="1" r:id="rIdf3j79x50-vwh0uttpwe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hqbifv6mapafplvpjmx" Type="http://schemas.openxmlformats.org/officeDocument/2006/relationships/hyperlink" Target="https://dalil.kg/document/1154#st_8" TargetMode="External"/><Relationship Id="rIdmsf7nr7m2sryu29pthds2" Type="http://schemas.openxmlformats.org/officeDocument/2006/relationships/hyperlink" Target="https://dalil.kg/document/112301#st_13" TargetMode="External"/><Relationship Id="rId2dngibuscotxuynvkfv8k" Type="http://schemas.openxmlformats.org/officeDocument/2006/relationships/hyperlink" Target="https://dalil.kg/document/112301#st_17" TargetMode="External"/><Relationship Id="rIdxdm3l5wuvghbfxbkv2zyp" Type="http://schemas.openxmlformats.org/officeDocument/2006/relationships/hyperlink" Target="https://dalil.kg/document/158182" TargetMode="External"/><Relationship Id="rIdw24cbxfhhjyx-bo8gyhos" Type="http://schemas.openxmlformats.org/officeDocument/2006/relationships/hyperlink" Target="https://dalil.kg/document/158183" TargetMode="External"/><Relationship Id="rId5jkaqghvkdbro2smdmnh0" Type="http://schemas.openxmlformats.org/officeDocument/2006/relationships/hyperlink" Target="https://dalil.kg/document/158183" TargetMode="External"/><Relationship Id="rIdis7mop0pp1tuknhyzjheq" Type="http://schemas.openxmlformats.org/officeDocument/2006/relationships/hyperlink" Target="https://dalil.kg/document/230043474#pr" TargetMode="External"/><Relationship Id="rIdohhzw6a2uzijqn4ma90om" Type="http://schemas.openxmlformats.org/officeDocument/2006/relationships/hyperlink" Target="https://dalil.kg/document/230014873" TargetMode="External"/><Relationship Id="rIdvcsp-wvztmp2lxujwm2q-" Type="http://schemas.openxmlformats.org/officeDocument/2006/relationships/hyperlink" Target="https://dalil.kg/document/230029750" TargetMode="External"/><Relationship Id="rIdyci97hvykfphyt_ai_i8k" Type="http://schemas.openxmlformats.org/officeDocument/2006/relationships/hyperlink" Target="https://dalil.kg/document/23004364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11iiw0qre7_v9hcwlhg" Type="http://schemas.openxmlformats.org/officeDocument/2006/relationships/hyperlink" Target="https://dalil.kg/document/230043474" TargetMode="External"/><Relationship Id="rIdf3j79x50-vwh0uttpwe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2026-09-24T00:53:17.775Z</dcterms:created>
  <dcterms:modified xsi:type="dcterms:W3CDTF">2026-09-24T00:53:17.776Z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