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30 марта 2026 года № 244</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прилагаемое </w:t>
      </w:r>
      <w:hyperlink w:history="1" r:id="rId62cyv9uqyrbrqwwraeyqq">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проекту конституционного Закона Кыргызской Республики "О внесении изменений в </w:t>
      </w:r>
      <w:hyperlink w:history="1" r:id="rIdm_3wxnud1rx6vyq_hoqjq">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инициированному депутатом Жогорку Кенеша Кыргызской Республики Д.Д.Бекешевым.</w:t>
      </w:r>
    </w:p>
    <w:p>
      <w:pPr>
        <w:spacing w:after="120"/>
        <w:ind w:firstLine="567"/>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24"/>
          <w:szCs w:val="24"/>
        </w:rPr>
        <w:t xml:space="preserve">ЗАКЛЮЧЕНИЕ
 Кабинета Министров Кыргызской Республики к проекту конституционного Закона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w:t>
      </w:r>
    </w:p>
    <w:p>
      <w:pPr>
        <w:spacing w:after="120"/>
        <w:ind w:firstLine="567"/>
        <w:jc w:val="both"/>
      </w:pPr>
      <w:r>
        <w:rPr>
          <w:rFonts w:ascii="Arial" w:cs="Arial" w:eastAsia="Arial" w:hAnsi="Arial"/>
          <w:sz w:val="24"/>
          <w:szCs w:val="24"/>
        </w:rPr>
        <w:t xml:space="preserve">Кабинет Министров Кыргызской Республики (далее - Кабинет Министров) в соответствии со </w:t>
      </w:r>
      <w:r>
        <w:rPr>
          <w:rFonts w:ascii="Arial" w:cs="Arial" w:eastAsia="Arial" w:hAnsi="Arial"/>
          <w:sz w:val="24"/>
          <w:szCs w:val="24"/>
        </w:rPr>
        <w:t xml:space="preserve">статьей 27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проект конституционного Закона), инициированный депутатом Жогорку Кенеша Кыргызской Республики (далее - Жогорку Кенеш) Д.Д.Бекешевым, сообщает следующее.</w:t>
      </w:r>
    </w:p>
    <w:p>
      <w:pPr>
        <w:spacing w:after="120"/>
        <w:ind w:firstLine="567"/>
        <w:jc w:val="both"/>
      </w:pPr>
      <w:r>
        <w:rPr>
          <w:rFonts w:ascii="Arial" w:cs="Arial" w:eastAsia="Arial" w:hAnsi="Arial"/>
          <w:sz w:val="24"/>
          <w:szCs w:val="24"/>
        </w:rPr>
        <w:t xml:space="preserve">Согласно справке-обоснованию проект конституционного Закона разработан в целях увеличения явки избирателей, борьбы с подкупом голосов, проведения голосования вне помещения в день голосования, уточнения отдельных норм и устранения неточностей.</w:t>
      </w:r>
    </w:p>
    <w:p>
      <w:pPr>
        <w:spacing w:after="120"/>
        <w:ind w:firstLine="567"/>
        <w:jc w:val="both"/>
      </w:pPr>
      <w:r>
        <w:rPr>
          <w:rFonts w:ascii="Arial" w:cs="Arial" w:eastAsia="Arial" w:hAnsi="Arial"/>
          <w:sz w:val="24"/>
          <w:szCs w:val="24"/>
        </w:rPr>
        <w:t xml:space="preserve">Так, проектом конституционного Закона предлагается предусмотреть возможности стимулирования избирателей к участию в выборах, установление норм, мотивирующих избирателей сообщать о фактах подкупа на выборах, а также изменение некоторых правил голосования вне помещения.</w:t>
      </w:r>
    </w:p>
    <w:p>
      <w:pPr>
        <w:spacing w:after="120"/>
        <w:ind w:firstLine="567"/>
        <w:jc w:val="both"/>
      </w:pPr>
      <w:r>
        <w:rPr>
          <w:rFonts w:ascii="Arial" w:cs="Arial" w:eastAsia="Arial" w:hAnsi="Arial"/>
          <w:sz w:val="24"/>
          <w:szCs w:val="24"/>
        </w:rPr>
        <w:t xml:space="preserve">1. Пунктом 2 статьи 1 проекта конституционного Закона в части 1 </w:t>
      </w:r>
      <w:r>
        <w:rPr>
          <w:rFonts w:ascii="Arial" w:cs="Arial" w:eastAsia="Arial" w:hAnsi="Arial"/>
          <w:sz w:val="24"/>
          <w:szCs w:val="24"/>
        </w:rPr>
        <w:t xml:space="preserve">статьи 2</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предлагается установить право государства создавать стимулы и поощрения, побуждающие избирателей участвовать в выборах.</w:t>
      </w:r>
    </w:p>
    <w:p>
      <w:pPr>
        <w:spacing w:after="120"/>
        <w:ind w:firstLine="567"/>
        <w:jc w:val="both"/>
      </w:pPr>
      <w:r>
        <w:rPr>
          <w:rFonts w:ascii="Arial" w:cs="Arial" w:eastAsia="Arial" w:hAnsi="Arial"/>
          <w:sz w:val="24"/>
          <w:szCs w:val="24"/>
        </w:rPr>
        <w:t xml:space="preserve">Вместе с тем пунктом 3 статьи 1 проекта конституционного Закона предлагается дополнить </w:t>
      </w:r>
      <w:r>
        <w:rPr>
          <w:rFonts w:ascii="Arial" w:cs="Arial" w:eastAsia="Arial" w:hAnsi="Arial"/>
          <w:sz w:val="24"/>
          <w:szCs w:val="24"/>
        </w:rPr>
        <w:t xml:space="preserve">конституционный Закон</w:t>
      </w:r>
      <w:r>
        <w:rPr>
          <w:rFonts w:ascii="Arial" w:cs="Arial" w:eastAsia="Arial" w:hAnsi="Arial"/>
          <w:sz w:val="24"/>
          <w:szCs w:val="24"/>
        </w:rPr>
        <w:t xml:space="preserve"> статьей 8-1, предусматривающей механизм стимулирования реализации активного избирательного права граждан.</w:t>
      </w:r>
    </w:p>
    <w:p>
      <w:pPr>
        <w:spacing w:after="120"/>
        <w:ind w:firstLine="567"/>
        <w:jc w:val="both"/>
      </w:pPr>
      <w:r>
        <w:rPr>
          <w:rFonts w:ascii="Arial" w:cs="Arial" w:eastAsia="Arial" w:hAnsi="Arial"/>
          <w:sz w:val="24"/>
          <w:szCs w:val="24"/>
        </w:rPr>
        <w:t xml:space="preserve">Так, согласно части 2 предлагаемой проектом конституционного Закона статьи 8-1 предусматривается, что одной из мер стимулирования может являться финансирование из республиканского бюджета местных инициатив органов местного самоуправления на территориях участковых избирательных комиссий, где явка избирателей превысила 70 и более процентов, в порядке и на условиях, определяемых Кабинетом Министров.</w:t>
      </w:r>
    </w:p>
    <w:p>
      <w:pPr>
        <w:spacing w:after="120"/>
        <w:ind w:firstLine="567"/>
        <w:jc w:val="both"/>
      </w:pPr>
      <w:r>
        <w:rPr>
          <w:rFonts w:ascii="Arial" w:cs="Arial" w:eastAsia="Arial" w:hAnsi="Arial"/>
          <w:sz w:val="24"/>
          <w:szCs w:val="24"/>
        </w:rPr>
        <w:t xml:space="preserve">Отмечаем, что данные дополнения могут повлечь дополнительные расходы, не предусмотренные государственным бюджетом. Необходимо учесть, что в целом избирательные процессы требуют значительных расходов из средств государственного бюджета. С учетом масштабности и многоаспектности мероприятий, проводимых в ходе избирательного процесса, на каждом этапе его организации, проведения и завершения требуется прежде всего четкая ответственность при расходовании бюджетных средств в соответствии с установленными нормами.</w:t>
      </w:r>
    </w:p>
    <w:p>
      <w:pPr>
        <w:spacing w:after="120"/>
        <w:ind w:firstLine="567"/>
        <w:jc w:val="both"/>
      </w:pPr>
      <w:r>
        <w:rPr>
          <w:rFonts w:ascii="Arial" w:cs="Arial" w:eastAsia="Arial" w:hAnsi="Arial"/>
          <w:sz w:val="24"/>
          <w:szCs w:val="24"/>
        </w:rPr>
        <w:t xml:space="preserve">Кроме того, пунктом 10 статьи 1 проекта конституционного Закона предлагается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дополнить статьей 28-1, которая устанавливает, что в целях стимулирования граждан, сообщивших о фактах подкупа голосов, Центральная комиссия по выборам и проведению референдумов Кыргызской Республики (далее - Центральная избирательная комиссия) по согласованию с Кабинетом Министров за счет средств республиканского бюджета образует фонд по борьбе с подкупом голосов.</w:t>
      </w:r>
    </w:p>
    <w:p>
      <w:pPr>
        <w:spacing w:after="120"/>
        <w:ind w:firstLine="567"/>
        <w:jc w:val="both"/>
      </w:pPr>
      <w:r>
        <w:rPr>
          <w:rFonts w:ascii="Arial" w:cs="Arial" w:eastAsia="Arial" w:hAnsi="Arial"/>
          <w:sz w:val="24"/>
          <w:szCs w:val="24"/>
        </w:rPr>
        <w:t xml:space="preserve">Граждане, сообщившие о фактах подкупа голосов, поощряются в случае подтверждения факта подкупа голосов знаками внимания (грамоты, медали, значки) либо денежными средствами из фонда по борьбе с подкупом голосов в размере, определяемом Центральной избирательной комиссией.</w:t>
      </w:r>
    </w:p>
    <w:p>
      <w:pPr>
        <w:spacing w:after="120"/>
        <w:ind w:firstLine="567"/>
        <w:jc w:val="both"/>
      </w:pPr>
      <w:r>
        <w:rPr>
          <w:rFonts w:ascii="Arial" w:cs="Arial" w:eastAsia="Arial" w:hAnsi="Arial"/>
          <w:sz w:val="24"/>
          <w:szCs w:val="24"/>
        </w:rPr>
        <w:t xml:space="preserve">Необходимо отметить, что указанные положения создают правовую неопределенность при распределении бюджетных средств и риск дублирования функций, поскольку:</w:t>
      </w:r>
    </w:p>
    <w:p>
      <w:pPr>
        <w:spacing w:after="120"/>
        <w:ind w:firstLine="567"/>
        <w:jc w:val="both"/>
      </w:pPr>
      <w:r>
        <w:rPr>
          <w:rFonts w:ascii="Arial" w:cs="Arial" w:eastAsia="Arial" w:hAnsi="Arial"/>
          <w:sz w:val="24"/>
          <w:szCs w:val="24"/>
        </w:rPr>
        <w:t xml:space="preserve">- использование средств республиканского бюджета для поощрения граждан не предусмотрено бюджетным законодательством и требует дополнительного правового регулирования;</w:t>
      </w:r>
    </w:p>
    <w:p>
      <w:pPr>
        <w:spacing w:after="120"/>
        <w:ind w:firstLine="567"/>
        <w:jc w:val="both"/>
      </w:pPr>
      <w:r>
        <w:rPr>
          <w:rFonts w:ascii="Arial" w:cs="Arial" w:eastAsia="Arial" w:hAnsi="Arial"/>
          <w:sz w:val="24"/>
          <w:szCs w:val="24"/>
        </w:rPr>
        <w:t xml:space="preserve">- функции по выявлению и контролю фактов подкупа голосов уже возложены на Центральную избирательную комиссию;</w:t>
      </w:r>
    </w:p>
    <w:p>
      <w:pPr>
        <w:spacing w:after="120"/>
        <w:ind w:firstLine="567"/>
        <w:jc w:val="both"/>
      </w:pPr>
      <w:r>
        <w:rPr>
          <w:rFonts w:ascii="Arial" w:cs="Arial" w:eastAsia="Arial" w:hAnsi="Arial"/>
          <w:sz w:val="24"/>
          <w:szCs w:val="24"/>
        </w:rPr>
        <w:t xml:space="preserve">- выплаты гражданам могут вызвать сомнения в объективности и независимости Центральной избирательной комиссии;</w:t>
      </w:r>
    </w:p>
    <w:p>
      <w:pPr>
        <w:spacing w:after="120"/>
        <w:ind w:firstLine="567"/>
        <w:jc w:val="both"/>
      </w:pPr>
      <w:r>
        <w:rPr>
          <w:rFonts w:ascii="Arial" w:cs="Arial" w:eastAsia="Arial" w:hAnsi="Arial"/>
          <w:sz w:val="24"/>
          <w:szCs w:val="24"/>
        </w:rPr>
        <w:t xml:space="preserve">- порядок формирования фонда, расходования средств и критерии определения факта подкупа не урегулированы в достаточной степени.</w:t>
      </w:r>
    </w:p>
    <w:p>
      <w:pPr>
        <w:spacing w:after="120"/>
        <w:ind w:firstLine="567"/>
        <w:jc w:val="both"/>
      </w:pPr>
      <w:r>
        <w:rPr>
          <w:rFonts w:ascii="Arial" w:cs="Arial" w:eastAsia="Arial" w:hAnsi="Arial"/>
          <w:sz w:val="24"/>
          <w:szCs w:val="24"/>
        </w:rPr>
        <w:t xml:space="preserve">Вместе с тем в справке-обосновании указано, что проект конституционного Закона не повлечет дополнительных расходов из бюджета, тогда как меры стимулирования активного избирательного права и создание фонда по борьбе с подкупом голосов за счет средств республиканского бюджета могут повлечь расходы, не предусмотренные в республиканском бюджете.</w:t>
      </w:r>
    </w:p>
    <w:p>
      <w:pPr>
        <w:spacing w:after="120"/>
        <w:ind w:firstLine="567"/>
        <w:jc w:val="both"/>
      </w:pPr>
      <w:r>
        <w:rPr>
          <w:rFonts w:ascii="Arial" w:cs="Arial" w:eastAsia="Arial" w:hAnsi="Arial"/>
          <w:sz w:val="24"/>
          <w:szCs w:val="24"/>
        </w:rPr>
        <w:t xml:space="preserve">Необходимо отметить, что в соответствии с частью 3 </w:t>
      </w:r>
      <w:r>
        <w:rPr>
          <w:rFonts w:ascii="Arial" w:cs="Arial" w:eastAsia="Arial" w:hAnsi="Arial"/>
          <w:sz w:val="24"/>
          <w:szCs w:val="24"/>
        </w:rPr>
        <w:t xml:space="preserve">статьи 86</w:t>
      </w:r>
      <w:r>
        <w:rPr>
          <w:rFonts w:ascii="Arial" w:cs="Arial" w:eastAsia="Arial" w:hAnsi="Arial"/>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источника финансирования.</w:t>
      </w:r>
    </w:p>
    <w:p>
      <w:pPr>
        <w:spacing w:after="120"/>
        <w:ind w:firstLine="567"/>
        <w:jc w:val="both"/>
      </w:pPr>
      <w:r>
        <w:rPr>
          <w:rFonts w:ascii="Arial" w:cs="Arial" w:eastAsia="Arial" w:hAnsi="Arial"/>
          <w:sz w:val="24"/>
          <w:szCs w:val="24"/>
        </w:rPr>
        <w:t xml:space="preserve">Частью 1 </w:t>
      </w:r>
      <w:r>
        <w:rPr>
          <w:rFonts w:ascii="Arial" w:cs="Arial" w:eastAsia="Arial" w:hAnsi="Arial"/>
          <w:sz w:val="24"/>
          <w:szCs w:val="24"/>
        </w:rPr>
        <w:t xml:space="preserve">статьи 26</w:t>
      </w:r>
      <w:r>
        <w:rPr>
          <w:rFonts w:ascii="Arial" w:cs="Arial" w:eastAsia="Arial" w:hAnsi="Arial"/>
          <w:sz w:val="24"/>
          <w:szCs w:val="24"/>
        </w:rPr>
        <w:t xml:space="preserve"> Закона Кыргызской Республики "О нормативных правовых актах Кыргызской Республики" предусматривается, что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ind w:firstLine="567"/>
        <w:jc w:val="both"/>
      </w:pPr>
      <w:r>
        <w:rPr>
          <w:rFonts w:ascii="Arial" w:cs="Arial" w:eastAsia="Arial" w:hAnsi="Arial"/>
          <w:sz w:val="24"/>
          <w:szCs w:val="24"/>
        </w:rPr>
        <w:t xml:space="preserve">Также частью 3 статьи 8-1 проекта конституционного Закона предусматривается, что работодатель независимо от формы собственности обязан предоставить работнику, осуществляющему трудовую деятельность в день голосования, время для реализации активного избирательного права.</w:t>
      </w:r>
    </w:p>
    <w:p>
      <w:pPr>
        <w:spacing w:after="120"/>
        <w:ind w:firstLine="567"/>
        <w:jc w:val="both"/>
      </w:pPr>
      <w:r>
        <w:rPr>
          <w:rFonts w:ascii="Arial" w:cs="Arial" w:eastAsia="Arial" w:hAnsi="Arial"/>
          <w:sz w:val="24"/>
          <w:szCs w:val="24"/>
        </w:rPr>
        <w:t xml:space="preserve">Вместе с тем данная норма не содержит правовой определенности в части объема и порядка предоставления такого времени, критериев его соразмерности, а также правового режима указанного периода, включая вопросы его оплаты (сохранение заработной платы либо отнесение ко времени простоя), что требует дополнительного нормативного урегулирования.</w:t>
      </w:r>
    </w:p>
    <w:p>
      <w:pPr>
        <w:spacing w:after="120"/>
        <w:ind w:firstLine="567"/>
        <w:jc w:val="both"/>
      </w:pPr>
      <w:r>
        <w:rPr>
          <w:rFonts w:ascii="Arial" w:cs="Arial" w:eastAsia="Arial" w:hAnsi="Arial"/>
          <w:sz w:val="24"/>
          <w:szCs w:val="24"/>
        </w:rPr>
        <w:t xml:space="preserve">Кроме того, обращаем внимание, что статьями </w:t>
      </w:r>
      <w:r>
        <w:rPr>
          <w:rFonts w:ascii="Arial" w:cs="Arial" w:eastAsia="Arial" w:hAnsi="Arial"/>
          <w:sz w:val="24"/>
          <w:szCs w:val="24"/>
        </w:rPr>
        <w:t xml:space="preserve">48</w:t>
      </w:r>
      <w:r>
        <w:rPr>
          <w:rFonts w:ascii="Arial" w:cs="Arial" w:eastAsia="Arial" w:hAnsi="Arial"/>
          <w:sz w:val="24"/>
          <w:szCs w:val="24"/>
        </w:rPr>
        <w:t xml:space="preserve"> и </w:t>
      </w:r>
      <w:r>
        <w:rPr>
          <w:rFonts w:ascii="Arial" w:cs="Arial" w:eastAsia="Arial" w:hAnsi="Arial"/>
          <w:sz w:val="24"/>
          <w:szCs w:val="24"/>
        </w:rPr>
        <w:t xml:space="preserve">59</w:t>
      </w:r>
      <w:r>
        <w:rPr>
          <w:rFonts w:ascii="Arial" w:cs="Arial" w:eastAsia="Arial" w:hAnsi="Arial"/>
          <w:sz w:val="24"/>
          <w:szCs w:val="24"/>
        </w:rPr>
        <w:t xml:space="preserve"> конституционного Закона установлено, что очередные выборы Президента Кыргызской Республики проводятся в четвертое воскресенье января, а очередные выборы депутатов Жогорку Кенеша назначаются Президентом Кыргызской Республики не ранее чем за 100 календарных дней и не позднее чем за 90 календарных дней до дня голосования. Днем голосования является воскресенье соответствующего месяца.</w:t>
      </w:r>
    </w:p>
    <w:p>
      <w:pPr>
        <w:spacing w:after="120"/>
        <w:ind w:firstLine="567"/>
        <w:jc w:val="both"/>
      </w:pPr>
      <w:r>
        <w:rPr>
          <w:rFonts w:ascii="Arial" w:cs="Arial" w:eastAsia="Arial" w:hAnsi="Arial"/>
          <w:sz w:val="24"/>
          <w:szCs w:val="24"/>
        </w:rPr>
        <w:t xml:space="preserve">Принимая во внимание вышеизложенное, принятие предлагаемых проектом конституционного Закона статей 8-1 и 28-1 считаем нецелесообразным.</w:t>
      </w:r>
    </w:p>
    <w:p>
      <w:pPr>
        <w:spacing w:after="120"/>
        <w:ind w:firstLine="567"/>
        <w:jc w:val="both"/>
      </w:pPr>
      <w:r>
        <w:rPr>
          <w:rFonts w:ascii="Arial" w:cs="Arial" w:eastAsia="Arial" w:hAnsi="Arial"/>
          <w:sz w:val="24"/>
          <w:szCs w:val="24"/>
        </w:rPr>
        <w:t xml:space="preserve">2. В соответствии с пунктом 1 части 2 </w:t>
      </w:r>
      <w:r>
        <w:rPr>
          <w:rFonts w:ascii="Arial" w:cs="Arial" w:eastAsia="Arial" w:hAnsi="Arial"/>
          <w:sz w:val="24"/>
          <w:szCs w:val="24"/>
        </w:rPr>
        <w:t xml:space="preserve">статьи 21-1</w:t>
      </w:r>
      <w:r>
        <w:rPr>
          <w:rFonts w:ascii="Arial" w:cs="Arial" w:eastAsia="Arial" w:hAnsi="Arial"/>
          <w:sz w:val="24"/>
          <w:szCs w:val="24"/>
        </w:rPr>
        <w:t xml:space="preserve"> конституционного Закона видом злоупотребления административным ресурсом признается привлечение для осуществления деятельности, способствующей выдвижению и (или) избранию кандидата, лиц, находящихся в подчинении либо иной служебной зависимости, других государственных или муниципальных служащих, работников государственных или муниципальных образовательных организаций и учреждений здравоохранения, работников учреждений и организаций, финансируемых из республиканского и местных бюджетов, работников территориального общественного самоуправления.</w:t>
      </w:r>
    </w:p>
    <w:p>
      <w:pPr>
        <w:spacing w:after="120"/>
        <w:ind w:firstLine="567"/>
        <w:jc w:val="both"/>
      </w:pPr>
      <w:r>
        <w:rPr>
          <w:rFonts w:ascii="Arial" w:cs="Arial" w:eastAsia="Arial" w:hAnsi="Arial"/>
          <w:sz w:val="24"/>
          <w:szCs w:val="24"/>
        </w:rPr>
        <w:t xml:space="preserve">Проектом конституционного Закона предлагается заменить в указанной норме слова "работников территориального общественного самоуправления" словами "председателей и заместителей председателей территориального общественного самоуправления".</w:t>
      </w:r>
    </w:p>
    <w:p>
      <w:pPr>
        <w:spacing w:after="12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57</w:t>
      </w:r>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567"/>
        <w:jc w:val="both"/>
      </w:pPr>
      <w:r>
        <w:rPr>
          <w:rFonts w:ascii="Arial" w:cs="Arial" w:eastAsia="Arial" w:hAnsi="Arial"/>
          <w:sz w:val="24"/>
          <w:szCs w:val="24"/>
        </w:rPr>
        <w:t xml:space="preserve">В этой связи следует отметить, что злоупотребление административным ресурсом может осуществляться не только председателями и заместителями председателей территориального общественного самоуправления, но и иными работниками указанных органов.</w:t>
      </w:r>
    </w:p>
    <w:p>
      <w:pPr>
        <w:spacing w:after="120"/>
        <w:ind w:firstLine="567"/>
        <w:jc w:val="both"/>
      </w:pPr>
      <w:r>
        <w:rPr>
          <w:rFonts w:ascii="Arial" w:cs="Arial" w:eastAsia="Arial" w:hAnsi="Arial"/>
          <w:sz w:val="24"/>
          <w:szCs w:val="24"/>
        </w:rPr>
        <w:t xml:space="preserve">Наряду с этим подпунктом "б" пункта 6 статьи 1 проекта конституционного Закона предлагается пункт 8 части 2 </w:t>
      </w:r>
      <w:r>
        <w:rPr>
          <w:rFonts w:ascii="Arial" w:cs="Arial" w:eastAsia="Arial" w:hAnsi="Arial"/>
          <w:sz w:val="24"/>
          <w:szCs w:val="24"/>
        </w:rPr>
        <w:t xml:space="preserve">статьи 21-1</w:t>
      </w:r>
      <w:r>
        <w:rPr>
          <w:rFonts w:ascii="Arial" w:cs="Arial" w:eastAsia="Arial" w:hAnsi="Arial"/>
          <w:sz w:val="24"/>
          <w:szCs w:val="24"/>
        </w:rPr>
        <w:t xml:space="preserve"> конституционного Закона дополнить предложением следующего содержания:</w:t>
      </w:r>
    </w:p>
    <w:p>
      <w:pPr>
        <w:spacing w:after="120"/>
        <w:ind w:firstLine="567"/>
        <w:jc w:val="both"/>
      </w:pPr>
      <w:r>
        <w:rPr>
          <w:rFonts w:ascii="Arial" w:cs="Arial" w:eastAsia="Arial" w:hAnsi="Arial"/>
          <w:sz w:val="24"/>
          <w:szCs w:val="24"/>
        </w:rPr>
        <w:t xml:space="preserve">"При этом до начала проведения предвыборной агитации кандидат вправе публиковать материалы, не относящиеся к агитации на страницах социальных сетей.".</w:t>
      </w:r>
    </w:p>
    <w:p>
      <w:pPr>
        <w:spacing w:after="120"/>
        <w:ind w:firstLine="567"/>
        <w:jc w:val="both"/>
      </w:pPr>
      <w:r>
        <w:rPr>
          <w:rFonts w:ascii="Arial" w:cs="Arial" w:eastAsia="Arial" w:hAnsi="Arial"/>
          <w:sz w:val="24"/>
          <w:szCs w:val="24"/>
        </w:rPr>
        <w:t xml:space="preserve">Согласно положениям статей </w:t>
      </w:r>
      <w:r>
        <w:rPr>
          <w:rFonts w:ascii="Arial" w:cs="Arial" w:eastAsia="Arial" w:hAnsi="Arial"/>
          <w:sz w:val="24"/>
          <w:szCs w:val="24"/>
        </w:rPr>
        <w:t xml:space="preserve">32</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Конституции Кыргызской Республики каждый имеет право на свободу выражения своего мнения, свободу слова и печати, свободно искать, получать, хранить, использовать информацию и распространять ее устно, письменно или иным способом.</w:t>
      </w:r>
    </w:p>
    <w:p>
      <w:pPr>
        <w:spacing w:after="120"/>
        <w:ind w:firstLine="567"/>
        <w:jc w:val="both"/>
      </w:pPr>
      <w:r>
        <w:rPr>
          <w:rFonts w:ascii="Arial" w:cs="Arial" w:eastAsia="Arial" w:hAnsi="Arial"/>
          <w:sz w:val="24"/>
          <w:szCs w:val="24"/>
        </w:rPr>
        <w:t xml:space="preserve">Иными словами, права каждого человека (в том числе кандидата), не связанные с выборами, установленные Конституцией Кыргызской Республики, ничем не ограничиваются. Из чего следует, что предлагаемое дополнение не устанавливает каких-либо дополнительных прав и обязанностей, вследствие чего необходимость его внесения отсутствует.</w:t>
      </w:r>
    </w:p>
    <w:p>
      <w:pPr>
        <w:spacing w:after="120"/>
        <w:ind w:firstLine="567"/>
        <w:jc w:val="both"/>
      </w:pPr>
      <w:r>
        <w:rPr>
          <w:rFonts w:ascii="Arial" w:cs="Arial" w:eastAsia="Arial" w:hAnsi="Arial"/>
          <w:sz w:val="24"/>
          <w:szCs w:val="24"/>
        </w:rPr>
        <w:t xml:space="preserve">Принимая во внимание вышеизложенное, внесение предлагаемых изменений в </w:t>
      </w:r>
      <w:r>
        <w:rPr>
          <w:rFonts w:ascii="Arial" w:cs="Arial" w:eastAsia="Arial" w:hAnsi="Arial"/>
          <w:sz w:val="24"/>
          <w:szCs w:val="24"/>
        </w:rPr>
        <w:t xml:space="preserve">статью 21-1</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3. Подпунктом "в" пункта 7 статьи 1 проекта конституционного Закона предлагается признать утратившим силу пункт 4 части 10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который устанавливает, что распространение информации о деятельности кандидатов, не связанной с их профессиональной деятельностью или исполнением ими служебных (должностных) обязанностей, признается предвыборной агитацией.</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w:t>
      </w:r>
      <w:r>
        <w:rPr>
          <w:rFonts w:ascii="Arial" w:cs="Arial" w:eastAsia="Arial" w:hAnsi="Arial"/>
          <w:sz w:val="24"/>
          <w:szCs w:val="24"/>
        </w:rPr>
        <w:t xml:space="preserve"> конституционного Закона предвыборная агитация - деятельность граждан Кыргызской Республики, кандидатов, уполномоченных представителей и доверенных лиц кандидатов, политических партий по подготовке и распространению информации в период избирательной кампании, имеющая целью побудить или побуждающая избирателей к голосованию за тех или иных кандидатов (список кандидатов) либо против них.</w:t>
      </w:r>
    </w:p>
    <w:p>
      <w:pPr>
        <w:spacing w:after="120"/>
        <w:ind w:firstLine="567"/>
        <w:jc w:val="both"/>
      </w:pPr>
      <w:r>
        <w:rPr>
          <w:rFonts w:ascii="Arial" w:cs="Arial" w:eastAsia="Arial" w:hAnsi="Arial"/>
          <w:sz w:val="24"/>
          <w:szCs w:val="24"/>
        </w:rPr>
        <w:t xml:space="preserve">Иными словами, с момента начала агитационной деятельности любая информация о кандидатах может формировать соответствующее мнение у избирателей и побуждать их голосовать за или против кандидата.</w:t>
      </w:r>
    </w:p>
    <w:p>
      <w:pPr>
        <w:spacing w:after="120"/>
        <w:ind w:firstLine="567"/>
        <w:jc w:val="both"/>
      </w:pPr>
      <w:r>
        <w:rPr>
          <w:rFonts w:ascii="Arial" w:cs="Arial" w:eastAsia="Arial" w:hAnsi="Arial"/>
          <w:sz w:val="24"/>
          <w:szCs w:val="24"/>
        </w:rPr>
        <w:t xml:space="preserve">Ввиду чего, внесение предлагаемых изменений в пункт 4 части 10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4. Подпунктом "г" пункта 7 статьи 1 проекта конституционного Закона предлагается часть 15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 изложить в новой редакции, согласно которой депутат Жогорку Кенеша вправе проводить агитацию за свою кандидатуру или политическую партию, выдвинувшую его.</w:t>
      </w:r>
    </w:p>
    <w:p>
      <w:pPr>
        <w:spacing w:after="120"/>
        <w:ind w:firstLine="567"/>
        <w:jc w:val="both"/>
      </w:pPr>
      <w:r>
        <w:rPr>
          <w:rFonts w:ascii="Arial" w:cs="Arial" w:eastAsia="Arial" w:hAnsi="Arial"/>
          <w:sz w:val="24"/>
          <w:szCs w:val="24"/>
        </w:rPr>
        <w:t xml:space="preserve">Предлагаемая норма фактически дублирует положения, уже закрепленные в действующей редакции избирательного законодательства.</w:t>
      </w:r>
    </w:p>
    <w:p>
      <w:pPr>
        <w:spacing w:after="120"/>
        <w:ind w:firstLine="567"/>
        <w:jc w:val="both"/>
      </w:pPr>
      <w:r>
        <w:rPr>
          <w:rFonts w:ascii="Arial" w:cs="Arial" w:eastAsia="Arial" w:hAnsi="Arial"/>
          <w:sz w:val="24"/>
          <w:szCs w:val="24"/>
        </w:rPr>
        <w:t xml:space="preserve">Ввиду чего, поскольку включение дублирующих норм не уточняет правовое регулирование, не устраняет правовую неопределенность и не устанавливает новые права или обязанности, при этом перегружают нормативный правовой акт и не соответствует требованиям законодательной техники, считаем нецелесообразным внесение предлагаемых изменений в часть 15 </w:t>
      </w:r>
      <w:r>
        <w:rPr>
          <w:rFonts w:ascii="Arial" w:cs="Arial" w:eastAsia="Arial" w:hAnsi="Arial"/>
          <w:sz w:val="24"/>
          <w:szCs w:val="24"/>
        </w:rPr>
        <w:t xml:space="preserve">статьи 22</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5. Подпунктом "б" пункта 8 статьи 1 проекта конституционного Закона часть 2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 предлагается изложить в новой редакции, согласно которой печатные и иные агитационные материалы должны содержать наименование организации, индивидуального предпринимателя (фамилию, имя, отчество), изготовивших агитационные материалы, фамилию, имя, отчество кандидата, наименование политической партии, заказавшего(ей) изготовление агитационных материалов, информацию о тираже и дате их выпуска, а также фамилию, имя, отчество, регистрационный номер свидетельства уполномоченного представителя кандидата, политической партии по финансовым вопросам, оплатившего заказ. Запрещается распространение агитационных материалов, не содержащих указанную информацию, за исключением товаров, разрешенных для бесплатной раздачи избирателям, материалов, изготовленных самостоятельно кандидатом для распространения в социальных сетях, а также материалов, распространяемых по радио.</w:t>
      </w:r>
    </w:p>
    <w:p>
      <w:pPr>
        <w:spacing w:after="120"/>
        <w:ind w:firstLine="567"/>
        <w:jc w:val="both"/>
      </w:pPr>
      <w:r>
        <w:rPr>
          <w:rFonts w:ascii="Arial" w:cs="Arial" w:eastAsia="Arial" w:hAnsi="Arial"/>
          <w:sz w:val="24"/>
          <w:szCs w:val="24"/>
        </w:rPr>
        <w:t xml:space="preserve">Указанные изменения ослабляют механизмы прозрачности и финансового контроля в сфере предвыборной агитации, создают условия для распространения анонимных или недостаточно идентифицируемых агитационных материалов и затрудняют определение источников их финансирования.</w:t>
      </w:r>
    </w:p>
    <w:p>
      <w:pPr>
        <w:spacing w:after="120"/>
        <w:ind w:firstLine="567"/>
        <w:jc w:val="both"/>
      </w:pPr>
      <w:r>
        <w:rPr>
          <w:rFonts w:ascii="Arial" w:cs="Arial" w:eastAsia="Arial" w:hAnsi="Arial"/>
          <w:sz w:val="24"/>
          <w:szCs w:val="24"/>
        </w:rPr>
        <w:t xml:space="preserve">Вместе с тем считаем, что действующая редакция в достаточной и сбалансированной степени регулирует соответствующие общественные отношения, обеспечивает равенство кандидатов, прозрачность избирательного процесса и предотвращение злоупотреблений при финансировании.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предлагаемых изменений в часть 2 </w:t>
      </w:r>
      <w:r>
        <w:rPr>
          <w:rFonts w:ascii="Arial" w:cs="Arial" w:eastAsia="Arial" w:hAnsi="Arial"/>
          <w:sz w:val="24"/>
          <w:szCs w:val="24"/>
        </w:rPr>
        <w:t xml:space="preserve">статьи 27</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6. Подпунктом "б" пункта 9 статьи 1 проекта конституционного Закона предлагается абзац первый части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изложить в новой редакции, согласно которой со дня назначения выборов гражданам, намеревающимся выдвинуться в качестве кандидата на должность Президента Кыргызской Республики или депутата Жогорку Кенеша, их близким родственникам, запрещается выплачивать денежные средства избирателям, вручать избирателям подарки и иные материальные ценности, проводить распродажу товаров по цене ниже рыночной, бесплатно распространять любые товары, за исключением агитационных печатных материалов, значков, флажков, кружек,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по цене ниже рыночной услуги, обещать вознаграждение.</w:t>
      </w:r>
    </w:p>
    <w:p>
      <w:pPr>
        <w:spacing w:after="120"/>
        <w:ind w:firstLine="567"/>
        <w:jc w:val="both"/>
      </w:pPr>
      <w:r>
        <w:rPr>
          <w:rFonts w:ascii="Arial" w:cs="Arial" w:eastAsia="Arial" w:hAnsi="Arial"/>
          <w:sz w:val="24"/>
          <w:szCs w:val="24"/>
        </w:rPr>
        <w:t xml:space="preserve">В предлагаемой норме содержатся положения, которые могут негативно повлиять на единообразие и предсказуемость правового регулирования, в частности:</w:t>
      </w:r>
    </w:p>
    <w:p>
      <w:pPr>
        <w:spacing w:after="120"/>
        <w:ind w:firstLine="567"/>
        <w:jc w:val="both"/>
      </w:pPr>
      <w:r>
        <w:rPr>
          <w:rFonts w:ascii="Arial" w:cs="Arial" w:eastAsia="Arial" w:hAnsi="Arial"/>
          <w:sz w:val="24"/>
          <w:szCs w:val="24"/>
        </w:rPr>
        <w:t xml:space="preserve">- введение неопределенной категории "граждане, намеренные баллотироваться";</w:t>
      </w:r>
    </w:p>
    <w:p>
      <w:pPr>
        <w:spacing w:after="120"/>
        <w:ind w:firstLine="567"/>
        <w:jc w:val="both"/>
      </w:pPr>
      <w:r>
        <w:rPr>
          <w:rFonts w:ascii="Arial" w:cs="Arial" w:eastAsia="Arial" w:hAnsi="Arial"/>
          <w:sz w:val="24"/>
          <w:szCs w:val="24"/>
        </w:rPr>
        <w:t xml:space="preserve">- распространение запрета на близких родственников;</w:t>
      </w:r>
    </w:p>
    <w:p>
      <w:pPr>
        <w:spacing w:after="120"/>
        <w:ind w:firstLine="567"/>
        <w:jc w:val="both"/>
      </w:pPr>
      <w:r>
        <w:rPr>
          <w:rFonts w:ascii="Arial" w:cs="Arial" w:eastAsia="Arial" w:hAnsi="Arial"/>
          <w:sz w:val="24"/>
          <w:szCs w:val="24"/>
        </w:rPr>
        <w:t xml:space="preserve">- использование оценочных понятий ("рыночная цена", "ниже рыночной цены");</w:t>
      </w:r>
    </w:p>
    <w:p>
      <w:pPr>
        <w:spacing w:after="120"/>
        <w:ind w:firstLine="567"/>
        <w:jc w:val="both"/>
      </w:pPr>
      <w:r>
        <w:rPr>
          <w:rFonts w:ascii="Arial" w:cs="Arial" w:eastAsia="Arial" w:hAnsi="Arial"/>
          <w:sz w:val="24"/>
          <w:szCs w:val="24"/>
        </w:rPr>
        <w:t xml:space="preserve">- ограничение сферы применения нормы отдельными выборами.</w:t>
      </w:r>
    </w:p>
    <w:p>
      <w:pPr>
        <w:spacing w:after="120"/>
        <w:ind w:firstLine="567"/>
        <w:jc w:val="both"/>
      </w:pPr>
      <w:r>
        <w:rPr>
          <w:rFonts w:ascii="Arial" w:cs="Arial" w:eastAsia="Arial" w:hAnsi="Arial"/>
          <w:sz w:val="24"/>
          <w:szCs w:val="24"/>
        </w:rPr>
        <w:t xml:space="preserve">Действующая редакция данной нормы охватывает основные формы подкупа избирателей, включая передачу денежных средств, материальных ценностей, предоставление товаров и услуг на льготных условиях и иные способы незаконного воздействия на волеизъявление граждан.</w:t>
      </w:r>
    </w:p>
    <w:p>
      <w:pPr>
        <w:spacing w:after="120"/>
        <w:ind w:firstLine="567"/>
        <w:jc w:val="both"/>
      </w:pPr>
      <w:r>
        <w:rPr>
          <w:rFonts w:ascii="Arial" w:cs="Arial" w:eastAsia="Arial" w:hAnsi="Arial"/>
          <w:sz w:val="24"/>
          <w:szCs w:val="24"/>
        </w:rPr>
        <w:t xml:space="preserve">Таким образом, действующая редакция содержит универсальный и юридически определенный запрет на подкуп избирателей, распространяющийся на всех участников избирательного процесса и все виды выборов. Данная норма длительное время применяется в правоприменительной практике и доказала свою эффективность.</w:t>
      </w:r>
    </w:p>
    <w:p>
      <w:pPr>
        <w:spacing w:after="120"/>
        <w:ind w:firstLine="567"/>
        <w:jc w:val="both"/>
      </w:pPr>
      <w:r>
        <w:rPr>
          <w:rFonts w:ascii="Arial" w:cs="Arial" w:eastAsia="Arial" w:hAnsi="Arial"/>
          <w:sz w:val="24"/>
          <w:szCs w:val="24"/>
        </w:rPr>
        <w:t xml:space="preserve">С учетом вышеизложенного внесение предлагаемых изменений в часть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считаем нецелесообразным.</w:t>
      </w:r>
    </w:p>
    <w:p>
      <w:pPr>
        <w:spacing w:after="120"/>
        <w:ind w:firstLine="567"/>
        <w:jc w:val="both"/>
      </w:pPr>
      <w:r>
        <w:rPr>
          <w:rFonts w:ascii="Arial" w:cs="Arial" w:eastAsia="Arial" w:hAnsi="Arial"/>
          <w:sz w:val="24"/>
          <w:szCs w:val="24"/>
        </w:rPr>
        <w:t xml:space="preserve">7. Пунктом 12 статьи 1 проекта конституционного Закона предлагается </w:t>
      </w:r>
      <w:r>
        <w:rPr>
          <w:rFonts w:ascii="Arial" w:cs="Arial" w:eastAsia="Arial" w:hAnsi="Arial"/>
          <w:sz w:val="24"/>
          <w:szCs w:val="24"/>
        </w:rPr>
        <w:t xml:space="preserve">статью 31</w:t>
      </w:r>
      <w:r>
        <w:rPr>
          <w:rFonts w:ascii="Arial" w:cs="Arial" w:eastAsia="Arial" w:hAnsi="Arial"/>
          <w:sz w:val="24"/>
          <w:szCs w:val="24"/>
        </w:rPr>
        <w:t xml:space="preserve"> конституционного Закона дополнить положением об обязанности членов комиссии по организации голосования вне помещения.</w:t>
      </w:r>
    </w:p>
    <w:p>
      <w:pPr>
        <w:spacing w:after="120"/>
        <w:ind w:firstLine="567"/>
        <w:jc w:val="both"/>
      </w:pPr>
      <w:r>
        <w:rPr>
          <w:rFonts w:ascii="Arial" w:cs="Arial" w:eastAsia="Arial" w:hAnsi="Arial"/>
          <w:sz w:val="24"/>
          <w:szCs w:val="24"/>
        </w:rPr>
        <w:t xml:space="preserve">Одновременно пунктом 13 статьи 1 проекта конституционного Закона предлагаются изменения в </w:t>
      </w:r>
      <w:r>
        <w:rPr>
          <w:rFonts w:ascii="Arial" w:cs="Arial" w:eastAsia="Arial" w:hAnsi="Arial"/>
          <w:sz w:val="24"/>
          <w:szCs w:val="24"/>
        </w:rPr>
        <w:t xml:space="preserve">статью 33</w:t>
      </w:r>
      <w:r>
        <w:rPr>
          <w:rFonts w:ascii="Arial" w:cs="Arial" w:eastAsia="Arial" w:hAnsi="Arial"/>
          <w:sz w:val="24"/>
          <w:szCs w:val="24"/>
        </w:rPr>
        <w:t xml:space="preserve"> конституционного Закона, такие как проведение голосования вне помещения в день выборов с 8:00 до 18:00 часов на основании письменного (электронного) заявления избирателя, а также исключение ряда действующих норм статьи.</w:t>
      </w:r>
    </w:p>
    <w:p>
      <w:pPr>
        <w:spacing w:after="120"/>
        <w:ind w:firstLine="567"/>
        <w:jc w:val="both"/>
      </w:pPr>
      <w:r>
        <w:rPr>
          <w:rFonts w:ascii="Arial" w:cs="Arial" w:eastAsia="Arial" w:hAnsi="Arial"/>
          <w:sz w:val="24"/>
          <w:szCs w:val="24"/>
        </w:rPr>
        <w:t xml:space="preserve">Следует отметить, что проведение голосования вне помещения в день выборов создает риски, связанные с равенством избирателей, прозрачностью процедур и безопасностью, а также увеличивает нагрузку на избирательные комиссии и расходы.</w:t>
      </w:r>
    </w:p>
    <w:p>
      <w:pPr>
        <w:spacing w:after="120"/>
        <w:ind w:firstLine="567"/>
        <w:jc w:val="both"/>
      </w:pPr>
      <w:r>
        <w:rPr>
          <w:rFonts w:ascii="Arial" w:cs="Arial" w:eastAsia="Arial" w:hAnsi="Arial"/>
          <w:sz w:val="24"/>
          <w:szCs w:val="24"/>
        </w:rPr>
        <w:t xml:space="preserve">Принцип всеобщего и равного избирательного права предполагает реальную возможность участия всех граждан. В действующей редакции учитываются категории граждан, которые объективно не могут прибыть на участок.</w:t>
      </w:r>
    </w:p>
    <w:p>
      <w:pPr>
        <w:spacing w:after="120"/>
        <w:ind w:firstLine="567"/>
        <w:jc w:val="both"/>
      </w:pPr>
      <w:r>
        <w:rPr>
          <w:rFonts w:ascii="Arial" w:cs="Arial" w:eastAsia="Arial" w:hAnsi="Arial"/>
          <w:sz w:val="24"/>
          <w:szCs w:val="24"/>
        </w:rPr>
        <w:t xml:space="preserve">С учетом территориальных особенностей в нее включены высокогорные и приграничные районы, отдаленные населенные пункты, пастбищные зоны, учреждения здравоохранения, следственные изоляторы, а также промышленные и стратегические объекты.</w:t>
      </w:r>
    </w:p>
    <w:p>
      <w:pPr>
        <w:spacing w:after="120"/>
        <w:ind w:firstLine="567"/>
        <w:jc w:val="both"/>
      </w:pPr>
      <w:r>
        <w:rPr>
          <w:rFonts w:ascii="Arial" w:cs="Arial" w:eastAsia="Arial" w:hAnsi="Arial"/>
          <w:sz w:val="24"/>
          <w:szCs w:val="24"/>
        </w:rPr>
        <w:t xml:space="preserve">В связи с тем, что исключение действующих норм статей </w:t>
      </w:r>
      <w:r>
        <w:rPr>
          <w:rFonts w:ascii="Arial" w:cs="Arial" w:eastAsia="Arial" w:hAnsi="Arial"/>
          <w:sz w:val="24"/>
          <w:szCs w:val="24"/>
        </w:rPr>
        <w:t xml:space="preserve">31</w:t>
      </w:r>
      <w:r>
        <w:rPr>
          <w:rFonts w:ascii="Arial" w:cs="Arial" w:eastAsia="Arial" w:hAnsi="Arial"/>
          <w:sz w:val="24"/>
          <w:szCs w:val="24"/>
        </w:rPr>
        <w:t xml:space="preserve"> и </w:t>
      </w:r>
      <w:r>
        <w:rPr>
          <w:rFonts w:ascii="Arial" w:cs="Arial" w:eastAsia="Arial" w:hAnsi="Arial"/>
          <w:sz w:val="24"/>
          <w:szCs w:val="24"/>
        </w:rPr>
        <w:t xml:space="preserve">33</w:t>
      </w:r>
      <w:r>
        <w:rPr>
          <w:rFonts w:ascii="Arial" w:cs="Arial" w:eastAsia="Arial" w:hAnsi="Arial"/>
          <w:sz w:val="24"/>
          <w:szCs w:val="24"/>
        </w:rPr>
        <w:t xml:space="preserve"> конституционного Закона может привести к нарушению равенства прав граждан и снижению уровня участия в выборах, внесение указанных изменений считаем нецелесообразным.</w:t>
      </w:r>
    </w:p>
    <w:p>
      <w:pPr>
        <w:spacing w:after="120"/>
        <w:ind w:firstLine="567"/>
        <w:jc w:val="both"/>
      </w:pPr>
      <w:r>
        <w:rPr>
          <w:rFonts w:ascii="Arial" w:cs="Arial" w:eastAsia="Arial" w:hAnsi="Arial"/>
          <w:sz w:val="24"/>
          <w:szCs w:val="24"/>
        </w:rPr>
        <w:t xml:space="preserve">8. Пунктом 14 статьи 1 проекта конституционного Закона предлагается внести ряд изменений в </w:t>
      </w:r>
      <w:r>
        <w:rPr>
          <w:rFonts w:ascii="Arial" w:cs="Arial" w:eastAsia="Arial" w:hAnsi="Arial"/>
          <w:sz w:val="24"/>
          <w:szCs w:val="24"/>
        </w:rPr>
        <w:t xml:space="preserve">статью 41</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Так, относительно изменения в части 2-1 </w:t>
      </w:r>
      <w:r>
        <w:rPr>
          <w:rFonts w:ascii="Arial" w:cs="Arial" w:eastAsia="Arial" w:hAnsi="Arial"/>
          <w:sz w:val="24"/>
          <w:szCs w:val="24"/>
        </w:rPr>
        <w:t xml:space="preserve">статьи 41</w:t>
      </w:r>
      <w:r>
        <w:rPr>
          <w:rFonts w:ascii="Arial" w:cs="Arial" w:eastAsia="Arial" w:hAnsi="Arial"/>
          <w:sz w:val="24"/>
          <w:szCs w:val="24"/>
        </w:rPr>
        <w:t xml:space="preserve"> конституционного Закона, согласно которому при внесении добровольного пожертвования с помощью QR-кода национального стандарта банк, с которого отправляются пожертвования, обязан предоставить персональный идентификационный номер и фамилию, имя и отчество жертвователя банку, в котором открыт счет избирательного фонда.</w:t>
      </w:r>
    </w:p>
    <w:p>
      <w:pPr>
        <w:spacing w:after="120"/>
        <w:ind w:firstLine="567"/>
        <w:jc w:val="both"/>
      </w:pPr>
      <w:r>
        <w:rPr>
          <w:rFonts w:ascii="Arial" w:cs="Arial" w:eastAsia="Arial" w:hAnsi="Arial"/>
          <w:sz w:val="24"/>
          <w:szCs w:val="24"/>
        </w:rPr>
        <w:t xml:space="preserve">Следует отметить, что в платежной информации не отображается персональный идентификационный номер отправителя, не передаются полные фамилия, имя и отчество отправителя. В стандартном формате операции содержатся только реквизиты счета и данные транзакции.</w:t>
      </w:r>
    </w:p>
    <w:p>
      <w:pPr>
        <w:spacing w:after="120"/>
        <w:ind w:firstLine="567"/>
        <w:jc w:val="both"/>
      </w:pPr>
      <w:r>
        <w:rPr>
          <w:rFonts w:ascii="Arial" w:cs="Arial" w:eastAsia="Arial" w:hAnsi="Arial"/>
          <w:sz w:val="24"/>
          <w:szCs w:val="24"/>
        </w:rPr>
        <w:t xml:space="preserve">Таким образом, технический формат QR-платежа не предусматривает обязательной передачи персонального идентификационного номера и полных фамилии, имени и отчества.</w:t>
      </w:r>
    </w:p>
    <w:p>
      <w:pPr>
        <w:spacing w:after="120"/>
        <w:ind w:firstLine="567"/>
        <w:jc w:val="both"/>
      </w:pPr>
      <w:r>
        <w:rPr>
          <w:rFonts w:ascii="Arial" w:cs="Arial" w:eastAsia="Arial" w:hAnsi="Arial"/>
          <w:sz w:val="24"/>
          <w:szCs w:val="24"/>
        </w:rPr>
        <w:t xml:space="preserve">Наряду с этим отмечаем, что предлагаемая редакция части 9 </w:t>
      </w:r>
      <w:r>
        <w:rPr>
          <w:rFonts w:ascii="Arial" w:cs="Arial" w:eastAsia="Arial" w:hAnsi="Arial"/>
          <w:sz w:val="24"/>
          <w:szCs w:val="24"/>
        </w:rPr>
        <w:t xml:space="preserve">статьи 41</w:t>
      </w:r>
      <w:r>
        <w:rPr>
          <w:rFonts w:ascii="Arial" w:cs="Arial" w:eastAsia="Arial" w:hAnsi="Arial"/>
          <w:sz w:val="24"/>
          <w:szCs w:val="24"/>
        </w:rPr>
        <w:t xml:space="preserve"> конституционного Закона, согласно которой расходы на питание участников избирательного процесса не относятся к предвыборной деятельности и не подлежат оплате из средств избирательного фонда, вызывает вопросы.</w:t>
      </w:r>
    </w:p>
    <w:p>
      <w:pPr>
        <w:spacing w:after="120"/>
        <w:ind w:firstLine="567"/>
        <w:jc w:val="both"/>
      </w:pPr>
      <w:r>
        <w:rPr>
          <w:rFonts w:ascii="Arial" w:cs="Arial" w:eastAsia="Arial" w:hAnsi="Arial"/>
          <w:sz w:val="24"/>
          <w:szCs w:val="24"/>
        </w:rPr>
        <w:t xml:space="preserve">Представляется, что указанные расходы напротив должны финансироваться за счет средств избирательного фонда и подлежать соответствующему учету в целях обеспечения прозрачности финансирования избирательной кампании.</w:t>
      </w:r>
    </w:p>
    <w:p>
      <w:pPr>
        <w:spacing w:after="120"/>
        <w:ind w:firstLine="567"/>
        <w:jc w:val="both"/>
      </w:pPr>
      <w:r>
        <w:rPr>
          <w:rFonts w:ascii="Arial" w:cs="Arial" w:eastAsia="Arial" w:hAnsi="Arial"/>
          <w:sz w:val="24"/>
          <w:szCs w:val="24"/>
        </w:rPr>
        <w:t xml:space="preserve">Исключение таких расходов из состава затрат, покрываемых из избирательного фонда, может повлечь риски нарушения принципа равенства участников избирательного процесса, а также создать предпосылки для обхода установленных законодательством требований к финансированию предвыборной деятельности.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предлагаемых изменений в </w:t>
      </w:r>
      <w:r>
        <w:rPr>
          <w:rFonts w:ascii="Arial" w:cs="Arial" w:eastAsia="Arial" w:hAnsi="Arial"/>
          <w:sz w:val="24"/>
          <w:szCs w:val="24"/>
        </w:rPr>
        <w:t xml:space="preserve">статью 41</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9. Пунктом 15 статьи 1 проекта конституционного Закона предлагается пункт 3 </w:t>
      </w:r>
      <w:r>
        <w:rPr>
          <w:rFonts w:ascii="Arial" w:cs="Arial" w:eastAsia="Arial" w:hAnsi="Arial"/>
          <w:sz w:val="24"/>
          <w:szCs w:val="24"/>
        </w:rPr>
        <w:t xml:space="preserve">статьи 47</w:t>
      </w:r>
      <w:r>
        <w:rPr>
          <w:rFonts w:ascii="Arial" w:cs="Arial" w:eastAsia="Arial" w:hAnsi="Arial"/>
          <w:sz w:val="24"/>
          <w:szCs w:val="24"/>
        </w:rPr>
        <w:t xml:space="preserve"> конституционного Закона дополнить нормой, согласно которой уголовную либо иную ответственность в соответствии с законами Кыргызской Республики будут нести в том числе и лица, оказывающие воспрепятствование законной агитации.</w:t>
      </w:r>
    </w:p>
    <w:p>
      <w:pPr>
        <w:spacing w:after="120"/>
        <w:ind w:firstLine="567"/>
        <w:jc w:val="both"/>
      </w:pPr>
      <w:r>
        <w:rPr>
          <w:rFonts w:ascii="Arial" w:cs="Arial" w:eastAsia="Arial" w:hAnsi="Arial"/>
          <w:sz w:val="24"/>
          <w:szCs w:val="24"/>
        </w:rPr>
        <w:t xml:space="preserve">Однако данное положение создает правовую неопределенность и допускает широкое толкование, поскольку такие ситуации могут возникать по объективным причинам. Например, помещения могут быть заняты другими кандидатами, ограничения могут быть связаны с безопасностью или техническими требованиями и т.д.</w:t>
      </w:r>
    </w:p>
    <w:p>
      <w:pPr>
        <w:spacing w:after="120"/>
        <w:ind w:firstLine="567"/>
        <w:jc w:val="both"/>
      </w:pPr>
      <w:r>
        <w:rPr>
          <w:rFonts w:ascii="Arial" w:cs="Arial" w:eastAsia="Arial" w:hAnsi="Arial"/>
          <w:sz w:val="24"/>
          <w:szCs w:val="24"/>
        </w:rPr>
        <w:t xml:space="preserve">Введение данной нормы без четких критериев создает риск необоснованного привлечения к ответственности и противоречит принципу правовой определенности.</w:t>
      </w:r>
    </w:p>
    <w:p>
      <w:pPr>
        <w:spacing w:after="120"/>
        <w:ind w:firstLine="567"/>
        <w:jc w:val="both"/>
      </w:pPr>
      <w:r>
        <w:rPr>
          <w:rFonts w:ascii="Arial" w:cs="Arial" w:eastAsia="Arial" w:hAnsi="Arial"/>
          <w:sz w:val="24"/>
          <w:szCs w:val="24"/>
        </w:rPr>
        <w:t xml:space="preserve">В связи с чем считаем нецелесообразным внесение предлагаемого дополнения в пункт 3 </w:t>
      </w:r>
      <w:r>
        <w:rPr>
          <w:rFonts w:ascii="Arial" w:cs="Arial" w:eastAsia="Arial" w:hAnsi="Arial"/>
          <w:sz w:val="24"/>
          <w:szCs w:val="24"/>
        </w:rPr>
        <w:t xml:space="preserve">статьи 47</w:t>
      </w:r>
      <w:r>
        <w:rPr>
          <w:rFonts w:ascii="Arial" w:cs="Arial" w:eastAsia="Arial" w:hAnsi="Arial"/>
          <w:sz w:val="24"/>
          <w:szCs w:val="24"/>
        </w:rPr>
        <w:t xml:space="preserve"> конституционного Закона.</w:t>
      </w:r>
    </w:p>
    <w:p>
      <w:pPr>
        <w:spacing w:after="120"/>
        <w:ind w:firstLine="567"/>
        <w:jc w:val="both"/>
      </w:pPr>
      <w:r>
        <w:rPr>
          <w:rFonts w:ascii="Arial" w:cs="Arial" w:eastAsia="Arial" w:hAnsi="Arial"/>
          <w:sz w:val="24"/>
          <w:szCs w:val="24"/>
        </w:rPr>
        <w:t xml:space="preserve">10. Пунктом 16 статьи 1 проекта конституционного Закона предлагается признать утратившим силу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Так, согласно данной норме полномочия депутата Жогорку Кенеша прекращаются досрочно, в том числе в случаях прекращения уголовного дела в отношении него по нереабилитирующим основаниям, за исключением следующих случаев:</w:t>
      </w:r>
    </w:p>
    <w:p>
      <w:pPr>
        <w:spacing w:after="120"/>
        <w:ind w:firstLine="567"/>
        <w:jc w:val="both"/>
      </w:pPr>
      <w:r>
        <w:rPr>
          <w:rFonts w:ascii="Arial" w:cs="Arial" w:eastAsia="Arial" w:hAnsi="Arial"/>
          <w:sz w:val="24"/>
          <w:szCs w:val="24"/>
        </w:rPr>
        <w:t xml:space="preserve">- преступления небольшой тяжести, менее тяжкие преступления, совершенные по неосторожности;</w:t>
      </w:r>
    </w:p>
    <w:p>
      <w:pPr>
        <w:spacing w:after="120"/>
        <w:ind w:firstLine="567"/>
        <w:jc w:val="both"/>
      </w:pPr>
      <w:r>
        <w:rPr>
          <w:rFonts w:ascii="Arial" w:cs="Arial" w:eastAsia="Arial" w:hAnsi="Arial"/>
          <w:sz w:val="24"/>
          <w:szCs w:val="24"/>
        </w:rPr>
        <w:t xml:space="preserve">- случаи отказа потерпевшего от поддержания частно-публичного обвинения и (или) при достижении согласия обвиняемого с потерпевшим в соответствии и порядке, предусмотренном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В справке-обосновании к проекту конституционного Закона указано, что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противоречит части 2 </w:t>
      </w:r>
      <w:r>
        <w:rPr>
          <w:rFonts w:ascii="Arial" w:cs="Arial" w:eastAsia="Arial" w:hAnsi="Arial"/>
          <w:sz w:val="24"/>
          <w:szCs w:val="24"/>
        </w:rPr>
        <w:t xml:space="preserve">статьи 79</w:t>
      </w:r>
      <w:r>
        <w:rPr>
          <w:rFonts w:ascii="Arial" w:cs="Arial" w:eastAsia="Arial" w:hAnsi="Arial"/>
          <w:sz w:val="24"/>
          <w:szCs w:val="24"/>
        </w:rPr>
        <w:t xml:space="preserve"> Конституции Кыргызской Республики, в которой приведен исчерпывающий перечень оснований досрочного прекращения полномочий депутата Жогорку Кенеша.</w:t>
      </w:r>
    </w:p>
    <w:p>
      <w:pPr>
        <w:spacing w:after="120"/>
        <w:ind w:firstLine="567"/>
        <w:jc w:val="both"/>
      </w:pPr>
      <w:r>
        <w:rPr>
          <w:rFonts w:ascii="Arial" w:cs="Arial" w:eastAsia="Arial" w:hAnsi="Arial"/>
          <w:sz w:val="24"/>
          <w:szCs w:val="24"/>
        </w:rPr>
        <w:t xml:space="preserve">Так, частью 3 </w:t>
      </w:r>
      <w:r>
        <w:rPr>
          <w:rFonts w:ascii="Arial" w:cs="Arial" w:eastAsia="Arial" w:hAnsi="Arial"/>
          <w:sz w:val="24"/>
          <w:szCs w:val="24"/>
        </w:rPr>
        <w:t xml:space="preserve">статьи 76</w:t>
      </w:r>
      <w:r>
        <w:rPr>
          <w:rFonts w:ascii="Arial" w:cs="Arial" w:eastAsia="Arial" w:hAnsi="Arial"/>
          <w:sz w:val="24"/>
          <w:szCs w:val="24"/>
        </w:rPr>
        <w:t xml:space="preserve"> Конституции Кыргызской Республики предусмотрено, что депутат Жогорку Кенеша может быть отозван в порядке и случаях, предусмотренных конституционным Законом.</w:t>
      </w:r>
    </w:p>
    <w:p>
      <w:pPr>
        <w:spacing w:after="120"/>
        <w:ind w:firstLine="567"/>
        <w:jc w:val="both"/>
      </w:pPr>
      <w:r>
        <w:rPr>
          <w:rFonts w:ascii="Arial" w:cs="Arial" w:eastAsia="Arial" w:hAnsi="Arial"/>
          <w:sz w:val="24"/>
          <w:szCs w:val="24"/>
        </w:rPr>
        <w:t xml:space="preserve">Принимая во внимание, что пункт 5-1 части 5 </w:t>
      </w:r>
      <w:r>
        <w:rPr>
          <w:rFonts w:ascii="Arial" w:cs="Arial" w:eastAsia="Arial" w:hAnsi="Arial"/>
          <w:sz w:val="24"/>
          <w:szCs w:val="24"/>
        </w:rPr>
        <w:t xml:space="preserve">статьи 65</w:t>
      </w:r>
      <w:r>
        <w:rPr>
          <w:rFonts w:ascii="Arial" w:cs="Arial" w:eastAsia="Arial" w:hAnsi="Arial"/>
          <w:sz w:val="24"/>
          <w:szCs w:val="24"/>
        </w:rPr>
        <w:t xml:space="preserve"> конституционного Закона был принят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28 июля 2025 года № 161 в целях противодействия политической коррупции и повышения уровня доверия граждан к народным избранникам, считаем нецелесообразным признание утратившей силу данной нормы.</w:t>
      </w:r>
    </w:p>
    <w:p>
      <w:pPr>
        <w:spacing w:after="12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представленного проекта конституционного Закона Кыргызской Республики "О внесении изменений в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5jb3hbo_up2vcwl_bs9">
      <w:r>
        <w:rPr>
          <w:rFonts w:ascii="Arial" w:cs="Arial" w:eastAsia="Arial" w:hAnsi="Arial"/>
          <w:color w:val="132D3F"/>
          <w:sz w:val="16"/>
          <w:szCs w:val="16"/>
          <w:u w:val="single"/>
        </w:rPr>
        <w:t xml:space="preserve">dalil.kg/document/230043626</w:t>
      </w:r>
    </w:hyperlink>
  </w:p>
  <w:p>
    <w:pPr>
      <w:spacing w:after="0" w:before="40"/>
      <w:jc w:val="center"/>
    </w:pPr>
    <w:hyperlink w:history="1" r:id="rIdww1iegxc1rgwb8yuzsw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2cyv9uqyrbrqwwraeyqq" Type="http://schemas.openxmlformats.org/officeDocument/2006/relationships/hyperlink" Target="https://dalil.kg/document/230043626#pr" TargetMode="External"/><Relationship Id="rIdm_3wxnud1rx6vyq_hoqjq"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5jb3hbo_up2vcwl_bs9" Type="http://schemas.openxmlformats.org/officeDocument/2006/relationships/hyperlink" Target="https://dalil.kg/document/230043626" TargetMode="External"/><Relationship Id="rIdww1iegxc1rgwb8yuzsw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2026-09-26T15:24:35.769Z</dcterms:created>
  <dcterms:modified xsi:type="dcterms:W3CDTF">2026-09-26T15:24:35.769Z</dcterms:modified>
</cp:coreProperties>
</file>

<file path=docProps/custom.xml><?xml version="1.0" encoding="utf-8"?>
<Properties xmlns="http://schemas.openxmlformats.org/officeDocument/2006/custom-properties" xmlns:vt="http://schemas.openxmlformats.org/officeDocument/2006/docPropsVTypes"/>
</file>