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8"/>
          <w:szCs w:val="28"/>
        </w:rPr>
        <w:t xml:space="preserve">Утверждено </w:t>
      </w:r>
      <w:hyperlink w:history="1" r:id="rIdslnvvd0w6kdwsaer-jmey">
        <w:r>
          <w:rPr>
            <w:rFonts w:ascii="Arial" w:cs="Arial" w:eastAsia="Arial" w:hAnsi="Arial"/>
            <w:color w:val="1D4ED8"/>
            <w:sz w:val="28"/>
            <w:szCs w:val="28"/>
            <w:u w:val="single"/>
          </w:rPr>
          <w:t xml:space="preserve">приказом</w:t>
        </w:r>
      </w:hyperlink>
      <w:r>
        <w:rPr>
          <w:rFonts w:ascii="Arial" w:cs="Arial" w:eastAsia="Arial" w:hAnsi="Arial"/>
          <w:sz w:val="28"/>
          <w:szCs w:val="28"/>
        </w:rPr>
        <w:t xml:space="preserve">Министерства природных ресурсов, экологии и технического надзора Кыргызской Республики </w:t>
      </w:r>
      <w:r>
        <w:rPr>
          <w:rFonts w:ascii="Arial" w:cs="Arial" w:eastAsia="Arial" w:hAnsi="Arial"/>
          <w:sz w:val="28"/>
          <w:szCs w:val="28"/>
        </w:rPr>
        <w:t xml:space="preserve">от 26 марта 2026 года</w:t>
      </w:r>
      <w:r>
        <w:rPr>
          <w:rFonts w:ascii="Arial" w:cs="Arial" w:eastAsia="Arial" w:hAnsi="Arial"/>
          <w:sz w:val="28"/>
          <w:szCs w:val="28"/>
        </w:rPr>
        <w:t xml:space="preserve">№ 01-01/108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осуществления государственного контроля за выбросами загрязняющих веществ передвижными источниками в 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Глава 1</w:t>
      </w:r>
      <w:r>
        <w:rPr>
          <w:rFonts w:ascii="Arial" w:cs="Arial" w:eastAsia="Arial" w:hAnsi="Arial"/>
          <w:b/>
          <w:bCs/>
          <w:sz w:val="28"/>
          <w:szCs w:val="28"/>
        </w:rPr>
        <w:t xml:space="preserve">. Общие положения</w:t>
      </w:r>
    </w:p>
    <w:p>
      <w:pPr>
        <w:spacing w:after="120" w:before="240"/>
        <w:ind w:firstLine="709"/>
        <w:jc w:val="both"/>
      </w:pPr>
      <w:r>
        <w:rPr>
          <w:rFonts w:ascii="Arial" w:cs="Arial" w:eastAsia="Arial" w:hAnsi="Arial"/>
          <w:sz w:val="28"/>
          <w:szCs w:val="28"/>
        </w:rPr>
        <w:t xml:space="preserve">1. Настоящий Порядок разработан в соответствии с </w:t>
      </w:r>
      <w:hyperlink w:history="1" r:id="rIdyuh5xji5swob68eersbpd">
        <w:r>
          <w:rPr>
            <w:rFonts w:ascii="Arial" w:cs="Arial" w:eastAsia="Arial" w:hAnsi="Arial"/>
            <w:color w:val="1D4ED8"/>
            <w:sz w:val="28"/>
            <w:szCs w:val="28"/>
            <w:u w:val="single"/>
          </w:rPr>
          <w:t xml:space="preserve">Кодексом</w:t>
        </w:r>
      </w:hyperlink>
      <w:r>
        <w:rPr>
          <w:rFonts w:ascii="Arial" w:cs="Arial" w:eastAsia="Arial" w:hAnsi="Arial"/>
          <w:sz w:val="28"/>
          <w:szCs w:val="28"/>
        </w:rPr>
        <w:t xml:space="preserve"> Кыргызской Республики «О правонарушениях» № 128 от 28 октября 2021 года, </w:t>
      </w:r>
      <w:hyperlink w:history="1" r:id="rIdaz80wlfr3krdyek-riuzi">
        <w:r>
          <w:rPr>
            <w:rFonts w:ascii="Arial" w:cs="Arial" w:eastAsia="Arial" w:hAnsi="Arial"/>
            <w:color w:val="1D4ED8"/>
            <w:sz w:val="28"/>
            <w:szCs w:val="28"/>
            <w:u w:val="single"/>
          </w:rPr>
          <w:t xml:space="preserve">Законом</w:t>
        </w:r>
      </w:hyperlink>
      <w:r>
        <w:rPr>
          <w:rFonts w:ascii="Arial" w:cs="Arial" w:eastAsia="Arial" w:hAnsi="Arial"/>
          <w:sz w:val="28"/>
          <w:szCs w:val="28"/>
        </w:rPr>
        <w:t xml:space="preserve"> Кыргызской Республики «Об охране атмосферного воздуха» № 51 от 12 июня 1999 года, </w:t>
      </w:r>
      <w:hyperlink w:history="1" r:id="rIdwss9mneakoortyaq68hsb">
        <w:r>
          <w:rPr>
            <w:rFonts w:ascii="Arial" w:cs="Arial" w:eastAsia="Arial" w:hAnsi="Arial"/>
            <w:color w:val="1D4ED8"/>
            <w:sz w:val="28"/>
            <w:szCs w:val="28"/>
            <w:u w:val="single"/>
          </w:rPr>
          <w:t xml:space="preserve">Законом</w:t>
        </w:r>
      </w:hyperlink>
      <w:r>
        <w:rPr>
          <w:rFonts w:ascii="Arial" w:cs="Arial" w:eastAsia="Arial" w:hAnsi="Arial"/>
          <w:sz w:val="28"/>
          <w:szCs w:val="28"/>
        </w:rPr>
        <w:t xml:space="preserve"> Кыргызской Республики «Об охране окружающей среды» № 53 от 16 июня 1999 года, а также </w:t>
      </w:r>
      <w:hyperlink w:history="1" r:id="rIdobcqt4bsxrhnmelrjnu0o">
        <w:r>
          <w:rPr>
            <w:rFonts w:ascii="Arial" w:cs="Arial" w:eastAsia="Arial" w:hAnsi="Arial"/>
            <w:color w:val="1D4ED8"/>
            <w:sz w:val="28"/>
            <w:szCs w:val="28"/>
            <w:u w:val="single"/>
          </w:rPr>
          <w:t xml:space="preserve">постановлением</w:t>
        </w:r>
      </w:hyperlink>
      <w:r>
        <w:rPr>
          <w:rFonts w:ascii="Arial" w:cs="Arial" w:eastAsia="Arial" w:hAnsi="Arial"/>
          <w:sz w:val="28"/>
          <w:szCs w:val="28"/>
        </w:rPr>
        <w:t xml:space="preserve"> Кабинета Министров Кыргызской Республики «Об утверждении Порядка проведения технического осмотра транспортных средств» № 350 от 12 июля 2023 года и определяет порядок осуществления контроля и мониторинга выбросов загрязняющих веществ от автомобильных транспортных средств на территории Кыргызской Республики.</w:t>
      </w:r>
    </w:p>
    <w:p>
      <w:pPr>
        <w:spacing w:after="120"/>
        <w:ind w:firstLine="709"/>
        <w:jc w:val="both"/>
      </w:pPr>
      <w:r>
        <w:rPr>
          <w:rFonts w:ascii="Arial" w:cs="Arial" w:eastAsia="Arial" w:hAnsi="Arial"/>
          <w:sz w:val="28"/>
          <w:szCs w:val="28"/>
        </w:rPr>
        <w:t xml:space="preserve">Порядок распространяется на все автотранспортные и иные передвижные средства, оснащённые двигателями внутреннего сгорания, в том числе с гибридными и последовательными гибридными силовыми установками, эксплуатируемые на территории Кыргызской Республики.</w:t>
      </w:r>
    </w:p>
    <w:p>
      <w:pPr>
        <w:spacing w:after="120"/>
        <w:ind w:firstLine="709"/>
        <w:jc w:val="both"/>
      </w:pPr>
      <w:r>
        <w:rPr>
          <w:rFonts w:ascii="Arial" w:cs="Arial" w:eastAsia="Arial" w:hAnsi="Arial"/>
          <w:sz w:val="28"/>
          <w:szCs w:val="28"/>
        </w:rPr>
        <w:t xml:space="preserve">2.</w:t>
      </w:r>
      <w:r>
        <w:rPr>
          <w:rFonts w:ascii="Arial" w:cs="Arial" w:eastAsia="Arial" w:hAnsi="Arial"/>
          <w:sz w:val="28"/>
          <w:szCs w:val="28"/>
        </w:rPr>
        <w:t xml:space="preserve">В Порядке используются следующие термины и их определения:</w:t>
      </w:r>
    </w:p>
    <w:p>
      <w:pPr>
        <w:spacing w:after="120"/>
        <w:ind w:firstLine="709"/>
        <w:jc w:val="both"/>
      </w:pPr>
      <w:r>
        <w:rPr>
          <w:rFonts w:ascii="Arial" w:cs="Arial" w:eastAsia="Arial" w:hAnsi="Arial"/>
          <w:sz w:val="28"/>
          <w:szCs w:val="28"/>
        </w:rPr>
        <w:t xml:space="preserve">Газоанализатор - прибор для непрерывного анализа химического состава отработавших газов двигателя;</w:t>
      </w:r>
    </w:p>
    <w:p>
      <w:pPr>
        <w:spacing w:after="120"/>
        <w:ind w:firstLine="709"/>
        <w:jc w:val="both"/>
      </w:pPr>
      <w:r>
        <w:rPr>
          <w:rFonts w:ascii="Arial" w:cs="Arial" w:eastAsia="Arial" w:hAnsi="Arial"/>
          <w:sz w:val="28"/>
          <w:szCs w:val="28"/>
        </w:rPr>
        <w:t xml:space="preserve">Отработавшие газы двигателя - смесь газов с примесью взвешенных частиц, удаляемая из цилиндров или камер сгорания двигателя.</w:t>
      </w:r>
    </w:p>
    <w:p>
      <w:pPr>
        <w:spacing w:after="120"/>
        <w:ind w:firstLine="709"/>
        <w:jc w:val="both"/>
      </w:pPr>
      <w:r>
        <w:rPr>
          <w:rFonts w:ascii="Arial" w:cs="Arial" w:eastAsia="Arial" w:hAnsi="Arial"/>
          <w:sz w:val="28"/>
          <w:szCs w:val="28"/>
        </w:rPr>
        <w:t xml:space="preserve">Дымность отработавших газов - показатель, характеризующий степень поглощения светового потока, просвечивающего отработавшие газы дизеля.</w:t>
      </w:r>
    </w:p>
    <w:p>
      <w:pPr>
        <w:spacing w:after="120"/>
        <w:ind w:firstLine="709"/>
        <w:jc w:val="both"/>
      </w:pPr>
      <w:r>
        <w:rPr>
          <w:rFonts w:ascii="Arial" w:cs="Arial" w:eastAsia="Arial" w:hAnsi="Arial"/>
          <w:sz w:val="28"/>
          <w:szCs w:val="28"/>
        </w:rPr>
        <w:t xml:space="preserve">Токсичность выбросов двигателя - способность выбросов двигателя оказывать вредное воздействие на людей и окружающую природную среду.</w:t>
      </w:r>
    </w:p>
    <w:p>
      <w:pPr>
        <w:spacing w:after="120"/>
        <w:ind w:firstLine="709"/>
        <w:jc w:val="both"/>
      </w:pPr>
      <w:r>
        <w:rPr>
          <w:rFonts w:ascii="Arial" w:cs="Arial" w:eastAsia="Arial" w:hAnsi="Arial"/>
          <w:sz w:val="28"/>
          <w:szCs w:val="28"/>
        </w:rPr>
        <w:t xml:space="preserve">Свободное ускорение - разгон двигателя от минимальной до максимальной частоты вращения на холостом ходу.</w:t>
      </w:r>
    </w:p>
    <w:p>
      <w:pPr>
        <w:spacing w:after="120"/>
        <w:ind w:firstLine="709"/>
        <w:jc w:val="both"/>
      </w:pPr>
      <w:r>
        <w:rPr>
          <w:rFonts w:ascii="Arial" w:cs="Arial" w:eastAsia="Arial" w:hAnsi="Arial"/>
          <w:sz w:val="28"/>
          <w:szCs w:val="28"/>
        </w:rPr>
        <w:t xml:space="preserve">Максимальная частота вращения - частота вращения вала двигателя на холостом ходу при полностью нажатой педали подачи топлива, ограниченная регулятором.</w:t>
      </w:r>
    </w:p>
    <w:p>
      <w:pPr>
        <w:spacing w:after="120"/>
        <w:ind w:firstLine="709"/>
        <w:jc w:val="both"/>
      </w:pPr>
      <w:r>
        <w:rPr>
          <w:rFonts w:ascii="Arial" w:cs="Arial" w:eastAsia="Arial" w:hAnsi="Arial"/>
          <w:sz w:val="28"/>
          <w:szCs w:val="28"/>
        </w:rPr>
        <w:t xml:space="preserve">Эффективная база дымомера L, м, - толщина оптически-однородного слоя отработавших газов, эквивалентного по ослаблению светового потока столбу тех же отработавших газов, заполняющих рабочую трубу дымомера в условиях измерения.</w:t>
      </w:r>
    </w:p>
    <w:p>
      <w:pPr>
        <w:spacing w:after="120"/>
        <w:ind w:firstLine="709"/>
        <w:jc w:val="both"/>
      </w:pPr>
      <w:r>
        <w:rPr>
          <w:rFonts w:ascii="Arial" w:cs="Arial" w:eastAsia="Arial" w:hAnsi="Arial"/>
          <w:sz w:val="28"/>
          <w:szCs w:val="28"/>
        </w:rPr>
        <w:t xml:space="preserve">Натуральный показатель ослабления светового потока K, м¯¹, - величина, обратная толщине слоя отработавших газов, проходя который поток излучения от источника света дымомера ослабляется в e раз. Отсчитывается по основной шкале индикатора дымомера.</w:t>
      </w:r>
    </w:p>
    <w:p>
      <w:pPr>
        <w:spacing w:after="120"/>
        <w:ind w:firstLine="709"/>
        <w:jc w:val="both"/>
      </w:pPr>
      <w:r>
        <w:rPr>
          <w:rFonts w:ascii="Arial" w:cs="Arial" w:eastAsia="Arial" w:hAnsi="Arial"/>
          <w:sz w:val="28"/>
          <w:szCs w:val="28"/>
        </w:rPr>
        <w:t xml:space="preserve">Коэффициент ослабления светового потока N, %, - степень ослабления светового потока вследствие поглощения и рассеивания света отработавшими газами при прохождении ими рабочей трубы дымомера. Отсчитывается по вспомогательной шкале дымомера с эффективной базой 0,43 м.</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8"/>
          <w:szCs w:val="28"/>
        </w:rPr>
        <w:t xml:space="preserve">Глава 2.</w:t>
      </w:r>
      <w:r>
        <w:rPr>
          <w:rFonts w:ascii="Arial" w:cs="Arial" w:eastAsia="Arial" w:hAnsi="Arial"/>
          <w:b/>
          <w:bCs/>
          <w:sz w:val="28"/>
          <w:szCs w:val="28"/>
        </w:rPr>
        <w:t xml:space="preserve"> Организация и проведение рейдовых проверок автотранспортных средств</w:t>
      </w:r>
    </w:p>
    <w:p>
      <w:pPr>
        <w:spacing w:after="120" w:before="240"/>
        <w:ind w:firstLine="709"/>
        <w:jc w:val="both"/>
      </w:pPr>
      <w:r>
        <w:rPr>
          <w:rFonts w:ascii="Arial" w:cs="Arial" w:eastAsia="Arial" w:hAnsi="Arial"/>
          <w:sz w:val="28"/>
          <w:szCs w:val="28"/>
        </w:rPr>
        <w:t xml:space="preserve">3.  Государственный контроль за соблюдением требований по охране атмосферного воздуха от выбросов автотранспортных и других передвижных средств осуществляется уполномоченным органом в сфере охраны окружающей среды в пределах его компетенции и в порядке, установленном законодательством Кыргызской Республики.</w:t>
      </w:r>
    </w:p>
    <w:p>
      <w:pPr>
        <w:spacing w:after="120"/>
        <w:ind w:firstLine="709"/>
        <w:jc w:val="both"/>
      </w:pPr>
      <w:r>
        <w:rPr>
          <w:rFonts w:ascii="Arial" w:cs="Arial" w:eastAsia="Arial" w:hAnsi="Arial"/>
          <w:sz w:val="28"/>
          <w:szCs w:val="28"/>
        </w:rPr>
        <w:t xml:space="preserve">4. Дорожные рейдовые проверки – выборочный контроль транспортных средств непосредственно в местах эксплуатации (на улицах, дорогах, контрольно-пропускных пунктах) с целью выявления автомобилей с чрезмерно дымным или токсичным выхлопом.</w:t>
      </w:r>
    </w:p>
    <w:p>
      <w:pPr>
        <w:spacing w:after="120"/>
        <w:ind w:firstLine="709"/>
        <w:jc w:val="both"/>
      </w:pPr>
      <w:r>
        <w:rPr>
          <w:rFonts w:ascii="Arial" w:cs="Arial" w:eastAsia="Arial" w:hAnsi="Arial"/>
          <w:sz w:val="28"/>
          <w:szCs w:val="28"/>
        </w:rPr>
        <w:t xml:space="preserve">5. После остановки транспортного средства сотрудниками уполномоченного органа, осуществляющего контроль за безопасностью дорожного движения, контроль соблюдения установленных нормативов выбросов загрязняющих веществ и уровней токсичности выхлопных газов осуществляет сотрудник уполномоченного органа в сфере охраны окружающей среды.</w:t>
      </w:r>
    </w:p>
    <w:p>
      <w:pPr>
        <w:spacing w:after="120"/>
        <w:ind w:firstLine="709"/>
        <w:jc w:val="both"/>
      </w:pPr>
      <w:r>
        <w:rPr>
          <w:rFonts w:ascii="Arial" w:cs="Arial" w:eastAsia="Arial" w:hAnsi="Arial"/>
          <w:sz w:val="28"/>
          <w:szCs w:val="28"/>
        </w:rPr>
        <w:t xml:space="preserve">6. Не подлежат проверке находящиеся в дорожном движении, транспортные средства органов национальной безопасности, органов внутренних дел, скорой медицинской помощи, аварийно-технических служб, службы МЧС, воинских, дипломатических представительств и такси, автобусов с пассажирами, а также движущихся в колоннах.</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8"/>
          <w:szCs w:val="28"/>
        </w:rPr>
        <w:t xml:space="preserve">Глава 3.</w:t>
      </w:r>
      <w:r>
        <w:rPr>
          <w:rFonts w:ascii="Arial" w:cs="Arial" w:eastAsia="Arial" w:hAnsi="Arial"/>
          <w:b/>
          <w:bCs/>
          <w:sz w:val="28"/>
          <w:szCs w:val="28"/>
        </w:rPr>
        <w:t xml:space="preserve"> Общие требования к проведению измерений выбросов</w:t>
      </w:r>
    </w:p>
    <w:p>
      <w:pPr>
        <w:spacing w:after="120"/>
        <w:ind w:firstLine="709"/>
        <w:jc w:val="both"/>
      </w:pPr>
      <w:r>
        <w:rPr>
          <w:rFonts w:ascii="Arial" w:cs="Arial" w:eastAsia="Arial" w:hAnsi="Arial"/>
          <w:sz w:val="28"/>
          <w:szCs w:val="28"/>
        </w:rPr>
        <w:t xml:space="preserve">7. Все средства измерений, применяемые для государственного контроля, подлежат обязательной поверке в установленном порядке. Приборы должны иметь действующее свидетельство о поверке от национального органа по стандартизации и метрологии. </w:t>
      </w:r>
    </w:p>
    <w:p>
      <w:pPr>
        <w:spacing w:after="120"/>
        <w:ind w:firstLine="709"/>
        <w:jc w:val="both"/>
      </w:pPr>
      <w:r>
        <w:rPr>
          <w:rFonts w:ascii="Arial" w:cs="Arial" w:eastAsia="Arial" w:hAnsi="Arial"/>
          <w:sz w:val="28"/>
          <w:szCs w:val="28"/>
        </w:rPr>
        <w:t xml:space="preserve">Периодичность поверки средств измерений устанавливается технической документацией (паспортом, инструкцией по эксплуатации) с учетом требований </w:t>
      </w:r>
      <w:hyperlink w:history="1" r:id="rIdfv1pfqzlyfkwgfvthnavb">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«Об обеспечении единства измерений» от 9 июля 2014 года № 118 и в соответствии с приложением № 3 к </w:t>
      </w:r>
      <w:hyperlink w:history="1" r:id="rIdqrobydtpvvp0-ja2utilp">
        <w:r>
          <w:rPr>
            <w:rFonts w:ascii="Arial" w:cs="Arial" w:eastAsia="Arial" w:hAnsi="Arial"/>
            <w:color w:val="1D4ED8"/>
            <w:sz w:val="28"/>
            <w:szCs w:val="28"/>
            <w:u w:val="single"/>
          </w:rPr>
          <w:t xml:space="preserve">постановлению</w:t>
        </w:r>
      </w:hyperlink>
      <w:r>
        <w:rPr>
          <w:rFonts w:ascii="Arial" w:cs="Arial" w:eastAsia="Arial" w:hAnsi="Arial"/>
          <w:sz w:val="28"/>
          <w:szCs w:val="28"/>
        </w:rPr>
        <w:t xml:space="preserve"> Правительства Кыргызской Республики от 2 сентября 2019 года № 446 «О мерах по реализации Закона Кыргызской Республики «Об обеспечении единства измерений».</w:t>
      </w:r>
    </w:p>
    <w:p>
      <w:pPr>
        <w:spacing w:after="120"/>
        <w:ind w:firstLine="709"/>
        <w:jc w:val="both"/>
      </w:pPr>
      <w:r>
        <w:rPr>
          <w:rFonts w:ascii="Arial" w:cs="Arial" w:eastAsia="Arial" w:hAnsi="Arial"/>
          <w:sz w:val="28"/>
          <w:szCs w:val="28"/>
        </w:rPr>
        <w:t xml:space="preserve">8. Инспектор перед началом работы проверяет пломбы и маркировку поверки на приборах. Использование непроверенных или неисправных приборов для целей контроля не допускается. </w:t>
      </w:r>
    </w:p>
    <w:p>
      <w:pPr>
        <w:spacing w:after="120"/>
        <w:ind w:firstLine="709"/>
        <w:jc w:val="both"/>
      </w:pPr>
      <w:r>
        <w:rPr>
          <w:rFonts w:ascii="Arial" w:cs="Arial" w:eastAsia="Arial" w:hAnsi="Arial"/>
          <w:sz w:val="28"/>
          <w:szCs w:val="28"/>
        </w:rPr>
        <w:t xml:space="preserve">9. При использовании газоанализаторов необходимо убедиться в отсутствии утечки отработавших газов мимо зонда, а также в его плотной фиксации в выхлопной трубе. При использовании дымомеров следует обеспечить прохождение всего потока выхлопных газов через оптическую камеру измерительного прибора, при необходимости должны применяться специальные насадки, плотно устанавливаемые на выхлопную трубу, во избежание рассеивания выхлопа.</w:t>
      </w:r>
    </w:p>
    <w:p>
      <w:pPr>
        <w:spacing w:after="120"/>
        <w:ind w:firstLine="709"/>
        <w:jc w:val="both"/>
      </w:pPr>
      <w:r>
        <w:rPr>
          <w:rFonts w:ascii="Arial" w:cs="Arial" w:eastAsia="Arial" w:hAnsi="Arial"/>
          <w:sz w:val="28"/>
          <w:szCs w:val="28"/>
        </w:rPr>
        <w:t xml:space="preserve">10. При проведении измерения пробег транспортного средства должен быть не менее 3 000 километров. При меньшем пробеге проверка не проводится. </w:t>
      </w:r>
    </w:p>
    <w:p>
      <w:pPr>
        <w:spacing w:after="120"/>
        <w:ind w:firstLine="709"/>
        <w:jc w:val="both"/>
      </w:pPr>
      <w:r>
        <w:rPr>
          <w:rFonts w:ascii="Arial" w:cs="Arial" w:eastAsia="Arial" w:hAnsi="Arial"/>
          <w:sz w:val="28"/>
          <w:szCs w:val="28"/>
        </w:rPr>
        <w:t xml:space="preserve">11. Не допускается нахождение людей на линии выхода отработавших газов транспортного средства во избежание отравления угарным газом и другими токсичными веществами. При множественных замерах, особенно в условиях закрытых помещений (боксов), инспектор и присутствующие лица должны использовать средства индивидуальной защиты органов дыхания (например, респираторы), в соответствии с требованиями ГОСТ 12.4.028-76 «ССБТ. Средства защиты органов дыхания. Классификация и маркировка».</w:t>
      </w:r>
    </w:p>
    <w:p>
      <w:pPr>
        <w:spacing w:after="120"/>
        <w:ind w:firstLine="709"/>
        <w:jc w:val="both"/>
      </w:pPr>
      <w:r>
        <w:rPr>
          <w:rFonts w:ascii="Arial" w:cs="Arial" w:eastAsia="Arial" w:hAnsi="Arial"/>
          <w:sz w:val="28"/>
          <w:szCs w:val="28"/>
        </w:rPr>
        <w:t xml:space="preserve">12. Транспортное средство во время проведения замеров должно быть заторможено стояночным тормозом, переведено на нейтральную передачу, а водитель обязан точно выполнять команды инспектора (например, нажатие на педаль акселератора) и своевременно останавливать двигатель по завершении проверки.</w:t>
      </w:r>
    </w:p>
    <w:p>
      <w:pPr>
        <w:spacing w:after="120"/>
        <w:ind w:firstLine="709"/>
        <w:jc w:val="both"/>
      </w:pPr>
      <w:r>
        <w:rPr>
          <w:rFonts w:ascii="Arial" w:cs="Arial" w:eastAsia="Arial" w:hAnsi="Arial"/>
          <w:sz w:val="28"/>
          <w:szCs w:val="28"/>
        </w:rPr>
        <w:t xml:space="preserve">13. После завершения работы приборы должны быть отключены, очищены при необходимости и транспортироваться в штатных защитных кофрах или футлярах, как предусмотрено технической документацией производителя и в соответствии с требованиями Закона Кыргызской Республики «Об обеспечении единства измерений» № 38 от 13 марта 2004 года.</w:t>
      </w:r>
    </w:p>
    <w:p>
      <w:pPr>
        <w:spacing w:after="120"/>
        <w:ind w:firstLine="709"/>
        <w:jc w:val="both"/>
      </w:pPr>
      <w:r>
        <w:rPr>
          <w:rFonts w:ascii="Arial" w:cs="Arial" w:eastAsia="Arial" w:hAnsi="Arial"/>
          <w:sz w:val="28"/>
          <w:szCs w:val="28"/>
        </w:rPr>
        <w:t xml:space="preserve">14.</w:t>
      </w:r>
      <w:r>
        <w:rPr>
          <w:rFonts w:ascii="Arial" w:cs="Arial" w:eastAsia="Arial" w:hAnsi="Arial"/>
          <w:sz w:val="28"/>
          <w:szCs w:val="28"/>
        </w:rPr>
        <w:t xml:space="preserve">После завершения подготовительной документальной проверки инспектор уполномоченного органа в сфере охраны окружающей среды приступает к проведению инструментального контроля выбросов отработавших газов транспортных средств, включая измерение содержания загрязняющих веществ и оценку их соответствия установленным нормативам.</w:t>
      </w:r>
    </w:p>
    <w:p>
      <w:pPr>
        <w:spacing w:after="120"/>
        <w:ind w:firstLine="709"/>
        <w:jc w:val="both"/>
      </w:pPr>
      <w:r>
        <w:rPr>
          <w:rFonts w:ascii="Arial" w:cs="Arial" w:eastAsia="Arial" w:hAnsi="Arial"/>
          <w:sz w:val="28"/>
          <w:szCs w:val="28"/>
        </w:rPr>
        <w:t xml:space="preserve">15. Инспектору уполномоченного органа не разрешается осуществлять запуск двигателя, управление автотранспортными или иными передвижными средствами, а также любые действия, способные повлиять на техническое состояние или эксплуатацию транспортного средства. Все контрольные мероприятия проводятся в порядке, установленном настоящим Порядком и действующим законодательством Кыргызской Республики.</w:t>
      </w:r>
    </w:p>
    <w:p>
      <w:pPr>
        <w:spacing w:after="120"/>
        <w:ind w:firstLine="709"/>
        <w:jc w:val="both"/>
      </w:pPr>
      <w:r>
        <w:rPr>
          <w:rFonts w:ascii="Arial" w:cs="Arial" w:eastAsia="Arial" w:hAnsi="Arial"/>
          <w:sz w:val="28"/>
          <w:szCs w:val="28"/>
        </w:rPr>
        <w:t xml:space="preserve">16. Содержание монооксида углерода (СО), углеводородов (СН) в отработавших газах автотранспортных средств с бензиновыми и (или) газовыми двигателями в режиме холостого хода на минимальных частотах вращения коленчатого вала двигателя не должно превышать значений, указанных в </w:t>
      </w:r>
      <w:hyperlink w:history="1" r:id="rIdqaisz-pqvpnrx6rcnlayo">
        <w:r>
          <w:rPr>
            <w:rFonts w:ascii="Arial" w:cs="Arial" w:eastAsia="Arial" w:hAnsi="Arial"/>
            <w:color w:val="1D4ED8"/>
            <w:sz w:val="28"/>
            <w:szCs w:val="28"/>
            <w:u w:val="single"/>
          </w:rPr>
          <w:t xml:space="preserve">приложении 1</w:t>
        </w:r>
      </w:hyperlink>
      <w:r>
        <w:rPr>
          <w:rFonts w:ascii="Arial" w:cs="Arial" w:eastAsia="Arial" w:hAnsi="Arial"/>
          <w:sz w:val="28"/>
          <w:szCs w:val="28"/>
        </w:rPr>
        <w:t xml:space="preserve"> к настоящего Порядка.</w:t>
      </w:r>
    </w:p>
    <w:p>
      <w:pPr>
        <w:spacing w:after="120"/>
        <w:ind w:firstLine="709"/>
        <w:jc w:val="both"/>
      </w:pPr>
      <w:r>
        <w:rPr>
          <w:rFonts w:ascii="Arial" w:cs="Arial" w:eastAsia="Arial" w:hAnsi="Arial"/>
          <w:sz w:val="28"/>
          <w:szCs w:val="28"/>
        </w:rPr>
        <w:t xml:space="preserve">17. Дымность отработавших газов для передвижных средств, оснащенных двигателями с воспламенением от сжатия (дизельные), не должна превышать значений, указанных в </w:t>
      </w:r>
      <w:hyperlink w:history="1" r:id="rId5lywz6bmy7jhr9bvthsmd">
        <w:r>
          <w:rPr>
            <w:rFonts w:ascii="Arial" w:cs="Arial" w:eastAsia="Arial" w:hAnsi="Arial"/>
            <w:color w:val="1D4ED8"/>
            <w:sz w:val="28"/>
            <w:szCs w:val="28"/>
            <w:u w:val="single"/>
          </w:rPr>
          <w:t xml:space="preserve">приложении 2</w:t>
        </w:r>
      </w:hyperlink>
      <w:r>
        <w:rPr>
          <w:rFonts w:ascii="Arial" w:cs="Arial" w:eastAsia="Arial" w:hAnsi="Arial"/>
          <w:sz w:val="28"/>
          <w:szCs w:val="28"/>
        </w:rPr>
        <w:t xml:space="preserve"> к настоящему порядку</w:t>
      </w:r>
    </w:p>
    <w:p>
      <w:pPr>
        <w:spacing w:after="120"/>
        <w:ind w:firstLine="709"/>
        <w:jc w:val="both"/>
      </w:pPr>
      <w:r>
        <w:rPr>
          <w:rFonts w:ascii="Arial" w:cs="Arial" w:eastAsia="Arial" w:hAnsi="Arial"/>
          <w:sz w:val="28"/>
          <w:szCs w:val="28"/>
        </w:rPr>
        <w:t xml:space="preserve">18. У транспортного средства система выпуска отработавших газов должна быть герметична и комплектна (не должно быть видимого отсутствия и повреждений элементов выпускной системы). </w:t>
      </w:r>
    </w:p>
    <w:p>
      <w:pPr>
        <w:spacing w:after="120"/>
        <w:ind w:firstLine="709"/>
        <w:jc w:val="both"/>
      </w:pPr>
      <w:r>
        <w:rPr>
          <w:rFonts w:ascii="Arial" w:cs="Arial" w:eastAsia="Arial" w:hAnsi="Arial"/>
          <w:sz w:val="28"/>
          <w:szCs w:val="28"/>
        </w:rPr>
        <w:t xml:space="preserve">19. Определение экологического класса автотранспортного средства осуществляется в зависимости от страны производителя и от года выпуска автотранспортного средства в соответствии с </w:t>
      </w:r>
      <w:hyperlink w:history="1" r:id="rIdsijpwnimfj-xayadn8p9_">
        <w:r>
          <w:rPr>
            <w:rFonts w:ascii="Arial" w:cs="Arial" w:eastAsia="Arial" w:hAnsi="Arial"/>
            <w:color w:val="1D4ED8"/>
            <w:sz w:val="28"/>
            <w:szCs w:val="28"/>
            <w:u w:val="single"/>
          </w:rPr>
          <w:t xml:space="preserve">приложением 4</w:t>
        </w:r>
      </w:hyperlink>
      <w:r>
        <w:rPr>
          <w:rFonts w:ascii="Arial" w:cs="Arial" w:eastAsia="Arial" w:hAnsi="Arial"/>
          <w:sz w:val="28"/>
          <w:szCs w:val="28"/>
        </w:rPr>
        <w:t xml:space="preserve"> к настоящему Порядку.</w:t>
      </w:r>
    </w:p>
    <w:p>
      <w:pPr>
        <w:spacing w:after="120" w:before="240"/>
        <w:ind w:firstLine="709"/>
        <w:jc w:val="center"/>
      </w:pPr>
      <w:r>
        <w:rPr>
          <w:rFonts w:ascii="Arial" w:cs="Arial" w:eastAsia="Arial" w:hAnsi="Arial"/>
          <w:b/>
          <w:bCs/>
          <w:sz w:val="28"/>
          <w:szCs w:val="28"/>
        </w:rPr>
        <w:t xml:space="preserve">Глава 4.</w:t>
      </w:r>
      <w:r>
        <w:rPr>
          <w:rFonts w:ascii="Arial" w:cs="Arial" w:eastAsia="Arial" w:hAnsi="Arial"/>
          <w:b/>
          <w:bCs/>
          <w:sz w:val="28"/>
          <w:szCs w:val="28"/>
        </w:rPr>
        <w:t xml:space="preserve"> Оформление результатов проверки</w:t>
      </w:r>
    </w:p>
    <w:p>
      <w:pPr>
        <w:spacing w:after="120"/>
        <w:ind w:firstLine="709"/>
        <w:jc w:val="both"/>
      </w:pPr>
      <w:r>
        <w:rPr>
          <w:rFonts w:ascii="Arial" w:cs="Arial" w:eastAsia="Arial" w:hAnsi="Arial"/>
          <w:sz w:val="28"/>
          <w:szCs w:val="28"/>
        </w:rPr>
        <w:t xml:space="preserve">20. Во время рейдовых проверок отдельных транспортных средств на дороге протокол замера может совмещаться с протоколом об административном правонарушении, либо вписываться в него как часть описания доказательств.</w:t>
      </w:r>
    </w:p>
    <w:p>
      <w:pPr>
        <w:spacing w:after="120"/>
        <w:ind w:firstLine="709"/>
        <w:jc w:val="both"/>
      </w:pPr>
      <w:r>
        <w:rPr>
          <w:rFonts w:ascii="Arial" w:cs="Arial" w:eastAsia="Arial" w:hAnsi="Arial"/>
          <w:sz w:val="28"/>
          <w:szCs w:val="28"/>
        </w:rPr>
        <w:t xml:space="preserve">21. При печатании квитанции с результатами, она прикладывается к протоколу (скрепляется подписью инспектора). </w:t>
      </w:r>
    </w:p>
    <w:p>
      <w:pPr>
        <w:spacing w:after="120"/>
        <w:ind w:firstLine="709"/>
        <w:jc w:val="both"/>
      </w:pPr>
      <w:r>
        <w:rPr>
          <w:rFonts w:ascii="Arial" w:cs="Arial" w:eastAsia="Arial" w:hAnsi="Arial"/>
          <w:sz w:val="28"/>
          <w:szCs w:val="28"/>
        </w:rPr>
        <w:t xml:space="preserve">22. В случаях, когда в ходе проверки установлено превышение транспортным средством нормативов содержания загрязняющих веществ в выбросах, инспектор (являющийся одновременно должностным лицом органа, уполномоченного составлять административные материалы) составляет протокол о правонарушении по соответствующей статье Кодекса о правонарушениях Кыргызской Республики. </w:t>
      </w:r>
    </w:p>
    <w:p>
      <w:pPr>
        <w:spacing w:after="120"/>
        <w:ind w:firstLine="709"/>
        <w:jc w:val="both"/>
      </w:pPr>
      <w:r>
        <w:rPr>
          <w:rFonts w:ascii="Arial" w:cs="Arial" w:eastAsia="Arial" w:hAnsi="Arial"/>
          <w:sz w:val="28"/>
          <w:szCs w:val="28"/>
        </w:rPr>
        <w:t xml:space="preserve">23. Согласно Техническому регламенту Таможенного союза (ЕАЭС) ТР ТС 018/2011 «О безопасности колесных транспортных средств», утверждённому Решением Комиссии Таможенного союза № 877 от 9 декабря 2011 года, в пунктах 9.1.1 и 9.2 устанавливаются нормативы содержания оксида углерода (CO), углеводородов (CH) и коэффициента дымности, которые подлежат измерению и оценке индивидуально для каждого транспортного средства.</w:t>
      </w:r>
    </w:p>
    <w:p>
      <w:pPr>
        <w:spacing w:after="120"/>
        <w:ind w:firstLine="709"/>
        <w:jc w:val="both"/>
      </w:pPr>
      <w:r>
        <w:rPr>
          <w:rFonts w:ascii="Arial" w:cs="Arial" w:eastAsia="Arial" w:hAnsi="Arial"/>
          <w:sz w:val="28"/>
          <w:szCs w:val="28"/>
        </w:rPr>
        <w:t xml:space="preserve">Также согласно статье 47 «Применение взысканий при совершении нескольких правонарушений» </w:t>
      </w:r>
      <w:hyperlink w:history="1" r:id="rIdgynvq-wpvr7gap8no0acf">
        <w:r>
          <w:rPr>
            <w:rFonts w:ascii="Arial" w:cs="Arial" w:eastAsia="Arial" w:hAnsi="Arial"/>
            <w:color w:val="1D4ED8"/>
            <w:sz w:val="28"/>
            <w:szCs w:val="28"/>
            <w:u w:val="single"/>
          </w:rPr>
          <w:t xml:space="preserve">Кодекса</w:t>
        </w:r>
      </w:hyperlink>
      <w:r>
        <w:rPr>
          <w:rFonts w:ascii="Arial" w:cs="Arial" w:eastAsia="Arial" w:hAnsi="Arial"/>
          <w:sz w:val="28"/>
          <w:szCs w:val="28"/>
        </w:rPr>
        <w:t xml:space="preserve"> Кыргызской Республики «О правонарушениях», в случае совершения одним лицом двух или более правонарушений взыскание применяется за каждое правонарушение отдельно.</w:t>
      </w:r>
    </w:p>
    <w:p>
      <w:pPr>
        <w:spacing w:after="120"/>
        <w:ind w:firstLine="709"/>
        <w:jc w:val="both"/>
      </w:pPr>
      <w:r>
        <w:rPr>
          <w:rFonts w:ascii="Arial" w:cs="Arial" w:eastAsia="Arial" w:hAnsi="Arial"/>
          <w:sz w:val="28"/>
          <w:szCs w:val="28"/>
        </w:rPr>
        <w:t xml:space="preserve">Таким образом, каждое транспортное средство рассматривается как самостоятельный объект государственного контроля. Наличие у транспортных средств одного собственника не является основанием для объединения нескольких фактов правонарушений в один протокол.</w:t>
      </w:r>
    </w:p>
    <w:p>
      <w:pPr>
        <w:spacing w:after="120"/>
        <w:ind w:firstLine="709"/>
        <w:jc w:val="both"/>
      </w:pPr>
      <w:r>
        <w:rPr>
          <w:rFonts w:ascii="Arial" w:cs="Arial" w:eastAsia="Arial" w:hAnsi="Arial"/>
          <w:sz w:val="28"/>
          <w:szCs w:val="28"/>
        </w:rPr>
        <w:t xml:space="preserve">Кроме того, согласно статье 19 «Вина юридических лиц» указанного Кодекса, юридическое лицо признаётся виновным в совершении правонарушения, если физическое лицо, состоящее с ним в трудовых отношениях, либо выполняющее определённые действия в его интересах (в том числе по договору), осознавало либо могло и должно было осознавать противоправность своих действий (действия или бездействия).</w:t>
      </w:r>
    </w:p>
    <w:p>
      <w:pPr>
        <w:spacing w:after="360"/>
        <w:jc w:val="lef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1</w:t>
      </w:r>
      <w:r>
        <w:rPr>
          <w:rFonts w:ascii="Arial" w:cs="Arial" w:eastAsia="Arial" w:hAnsi="Arial"/>
          <w:sz w:val="28"/>
          <w:szCs w:val="28"/>
        </w:rPr>
        <w:t xml:space="preserve">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36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Нормы содержания монооксида углерода (СО), углеводородов (СН) в отработавших газах двигателя с принудительным зажиганием для автотранспортных средств, работающих на бензине и (или) на газовом топливе</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8"/>
        <w:gridCol w:w="2673"/>
        <w:gridCol w:w="1757"/>
        <w:gridCol w:w="2050"/>
      </w:tblGrid>
      <w:tr>
        <w:tc>
          <w:tcPr>
            <w:tcW w:type="dxa" w:w="3698"/>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Категории и комплектация транспортных средств</w:t>
            </w:r>
          </w:p>
        </w:tc>
        <w:tc>
          <w:tcPr>
            <w:tcW w:type="dxa" w:w="2673"/>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Частота вращения коленчатого вала двигателя</w:t>
            </w:r>
          </w:p>
        </w:tc>
        <w:tc>
          <w:tcPr>
            <w:tcW w:type="dxa" w:w="175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СО, объемная доля, %</w:t>
            </w:r>
          </w:p>
        </w:tc>
        <w:tc>
          <w:tcPr>
            <w:tcW w:type="dxa" w:w="205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СН, объемная доля, млн-1/ppm</w:t>
            </w:r>
          </w:p>
        </w:tc>
      </w:tr>
      <w:tr>
        <w:tc>
          <w:tcPr>
            <w:tcW w:type="dxa" w:w="3698"/>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M и N, не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3,5</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1200</w:t>
            </w:r>
          </w:p>
        </w:tc>
      </w:tr>
      <w:tr>
        <w:tc>
          <w:tcPr>
            <w:vMerge w:val="continue"/>
            <w:tcBorders>
              <w:top w:val="none" w:color="auto" w:sz="0"/>
              <w:left w:val="single" w:color="CBBF9E" w:sz="4"/>
              <w:bottom w:val="single" w:color="CBBF9E" w:sz="4"/>
              <w:right w:val="single" w:color="CBBF9E" w:sz="4"/>
            </w:tcBorders>
          </w:tcP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повышенная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600</w:t>
            </w:r>
          </w:p>
        </w:tc>
      </w:tr>
      <w:tr>
        <w:tc>
          <w:tcPr>
            <w:tcW w:type="dxa" w:w="3698"/>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M и N, экологического класса 2 и ниже,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0,5</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200</w:t>
            </w:r>
          </w:p>
        </w:tc>
      </w:tr>
      <w:tr>
        <w:tc>
          <w:tcPr>
            <w:vMerge w:val="continue"/>
            <w:tcBorders>
              <w:top w:val="none" w:color="auto" w:sz="0"/>
              <w:left w:val="single" w:color="CBBF9E" w:sz="4"/>
              <w:bottom w:val="single" w:color="CBBF9E" w:sz="4"/>
              <w:right w:val="single" w:color="CBBF9E" w:sz="4"/>
            </w:tcBorders>
          </w:tcP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повышенная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0,3</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200</w:t>
            </w:r>
          </w:p>
        </w:tc>
      </w:tr>
      <w:tr>
        <w:tc>
          <w:tcPr>
            <w:tcW w:type="dxa" w:w="3698"/>
            <w:vMerge w:val="restart"/>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M и N, экологического класса 3 и выше,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0,3</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w:t>
            </w:r>
          </w:p>
        </w:tc>
      </w:tr>
      <w:tr>
        <w:tc>
          <w:tcPr>
            <w:vMerge w:val="continue"/>
            <w:tcBorders>
              <w:top w:val="none" w:color="auto" w:sz="0"/>
              <w:left w:val="single" w:color="CBBF9E" w:sz="4"/>
              <w:bottom w:val="single" w:color="CBBF9E" w:sz="4"/>
              <w:right w:val="single" w:color="CBBF9E" w:sz="4"/>
            </w:tcBorders>
          </w:tcP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повышенная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0,2</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w:t>
            </w:r>
          </w:p>
        </w:tc>
      </w:tr>
      <w:tr>
        <w:tc>
          <w:tcPr>
            <w:tcW w:type="dxa" w:w="369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L, не оснащенные системами нейтрализации отработавших газов</w:t>
            </w:r>
          </w:p>
        </w:tc>
        <w:tc>
          <w:tcPr>
            <w:tcW w:type="dxa" w:w="26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минимальная</w:t>
            </w:r>
          </w:p>
        </w:tc>
        <w:tc>
          <w:tcPr>
            <w:tcW w:type="dxa" w:w="175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4,5</w:t>
            </w:r>
          </w:p>
        </w:tc>
        <w:tc>
          <w:tcPr>
            <w:tcW w:type="dxa" w:w="205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2</w:t>
      </w:r>
      <w:r>
        <w:rPr>
          <w:rFonts w:ascii="Arial" w:cs="Arial" w:eastAsia="Arial" w:hAnsi="Arial"/>
          <w:sz w:val="28"/>
          <w:szCs w:val="28"/>
        </w:rPr>
        <w:t xml:space="preserve">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Нормы дымности отработавших газов автотранспортных средств, оснащенных двигателями с воспламенением от сжатия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6"/>
        <w:gridCol w:w="1846"/>
        <w:gridCol w:w="4166"/>
      </w:tblGrid>
      <w:tr>
        <w:tc>
          <w:tcPr>
            <w:tcW w:type="dxa" w:w="41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Категория транспортного средства, экологический класс</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8"/>
                <w:szCs w:val="28"/>
              </w:rPr>
              <w:t xml:space="preserve">Тип двигателя</w:t>
            </w:r>
          </w:p>
        </w:tc>
        <w:tc>
          <w:tcPr>
            <w:tcW w:type="dxa" w:w="41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8"/>
                <w:szCs w:val="28"/>
              </w:rPr>
              <w:t xml:space="preserve">Дымность, коэффициент поглощения светового потока (k), м-1</w:t>
            </w:r>
          </w:p>
        </w:tc>
      </w:tr>
      <w:tr>
        <w:tc>
          <w:tcPr>
            <w:tcW w:type="dxa" w:w="4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М, N, экологические классы
 3 и ниже</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Без наддува</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2,5</w:t>
            </w:r>
          </w:p>
        </w:tc>
      </w:tr>
      <w:tr>
        <w:tc>
          <w:tcPr>
            <w:vMerge w:val="continue"/>
            <w:tcBorders>
              <w:top w:val="none" w:color="auto" w:sz="0"/>
              <w:left w:val="single" w:color="CBBF9E" w:sz="4"/>
              <w:bottom w:val="single" w:color="CBBF9E" w:sz="4"/>
              <w:right w:val="single" w:color="CBBF9E" w:sz="4"/>
            </w:tcBorders>
          </w:tcP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С наддувом</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3,0</w:t>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М, N, экологические классы
 4 и выше</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w:t>
            </w:r>
          </w:p>
        </w:tc>
        <w:tc>
          <w:tcPr>
            <w:tcW w:type="dxa" w:w="4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8"/>
                <w:szCs w:val="28"/>
              </w:rPr>
              <w:t xml:space="preserve">1,5</w:t>
            </w:r>
          </w:p>
        </w:tc>
      </w:tr>
    </w:tbl>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3 </w:t>
      </w:r>
      <w:r>
        <w:rPr>
          <w:rFonts w:ascii="Arial" w:cs="Arial" w:eastAsia="Arial" w:hAnsi="Arial"/>
          <w:sz w:val="28"/>
          <w:szCs w:val="28"/>
        </w:rPr>
        <w:t xml:space="preserve">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Пересчет значений </w:t>
      </w:r>
      <w:r>
        <w:rPr>
          <w:rFonts w:ascii="Arial" w:cs="Arial" w:eastAsia="Arial" w:hAnsi="Arial"/>
          <w:b/>
          <w:bCs/>
          <w:i/>
          <w:iCs/>
          <w:sz w:val="28"/>
          <w:szCs w:val="28"/>
        </w:rPr>
        <w:t xml:space="preserve">k </w:t>
      </w:r>
      <w:r>
        <w:rPr>
          <w:rFonts w:ascii="Arial" w:cs="Arial" w:eastAsia="Arial" w:hAnsi="Arial"/>
          <w:b/>
          <w:bCs/>
          <w:sz w:val="28"/>
          <w:szCs w:val="28"/>
        </w:rPr>
        <w:t xml:space="preserve">в </w:t>
      </w:r>
      <w:r>
        <w:rPr>
          <w:rFonts w:ascii="Arial" w:cs="Arial" w:eastAsia="Arial" w:hAnsi="Arial"/>
          <w:b/>
          <w:bCs/>
          <w:i/>
          <w:iCs/>
          <w:sz w:val="28"/>
          <w:szCs w:val="28"/>
        </w:rPr>
        <w:t xml:space="preserve">N </w:t>
      </w:r>
      <w:r>
        <w:rPr>
          <w:rFonts w:ascii="Arial" w:cs="Arial" w:eastAsia="Arial" w:hAnsi="Arial"/>
          <w:b/>
          <w:bCs/>
          <w:sz w:val="28"/>
          <w:szCs w:val="28"/>
        </w:rPr>
        <w:t xml:space="preserve">(для дымомера с </w:t>
      </w:r>
      <w:r>
        <w:rPr>
          <w:rFonts w:ascii="Arial" w:cs="Arial" w:eastAsia="Arial" w:hAnsi="Arial"/>
          <w:b/>
          <w:bCs/>
          <w:i/>
          <w:iCs/>
          <w:sz w:val="28"/>
          <w:szCs w:val="28"/>
        </w:rPr>
        <w:t xml:space="preserve">L, </w:t>
      </w:r>
      <w:r>
        <w:rPr>
          <w:rFonts w:ascii="Arial" w:cs="Arial" w:eastAsia="Arial" w:hAnsi="Arial"/>
          <w:b/>
          <w:bCs/>
          <w:sz w:val="28"/>
          <w:szCs w:val="28"/>
        </w:rPr>
        <w:t xml:space="preserve">равной 0,43 м)</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993"/>
        <w:gridCol w:w="892"/>
        <w:gridCol w:w="993"/>
        <w:gridCol w:w="993"/>
        <w:gridCol w:w="993"/>
        <w:gridCol w:w="892"/>
        <w:gridCol w:w="993"/>
        <w:gridCol w:w="993"/>
        <w:gridCol w:w="1186"/>
        <w:gridCol w:w="253"/>
      </w:tblGrid>
      <w:tr>
        <w:tc>
          <w:tcPr>
            <w:tcW w:type="dxa" w:w="9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0,0</w:t>
            </w:r>
            <w:r>
              <w:rPr>
                <w:rFonts w:ascii="Arial" w:cs="Arial" w:eastAsia="Arial" w:hAnsi="Arial"/>
                <w:sz w:val="22"/>
                <w:szCs w:val="22"/>
              </w:rPr>
              <w:t xml:space="preserve">0,0</w:t>
            </w:r>
          </w:p>
        </w:tc>
        <w:tc>
          <w:tcPr>
            <w:tcW w:type="dxa" w:w="8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r>
              <w:rPr>
                <w:rFonts w:ascii="Arial" w:cs="Arial" w:eastAsia="Arial" w:hAnsi="Arial"/>
                <w:sz w:val="22"/>
                <w:szCs w:val="22"/>
              </w:rPr>
              <w:t xml:space="preserve">4</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0,2</w:t>
            </w:r>
            <w:r>
              <w:rPr>
                <w:rFonts w:ascii="Arial" w:cs="Arial" w:eastAsia="Arial" w:hAnsi="Arial"/>
                <w:sz w:val="22"/>
                <w:szCs w:val="22"/>
              </w:rPr>
              <w:t xml:space="preserve">8</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0,3</w:t>
            </w:r>
            <w:r>
              <w:rPr>
                <w:rFonts w:ascii="Arial" w:cs="Arial" w:eastAsia="Arial" w:hAnsi="Arial"/>
                <w:sz w:val="22"/>
                <w:szCs w:val="22"/>
              </w:rPr>
              <w:t xml:space="preserve">11</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0,4</w:t>
            </w:r>
            <w:r>
              <w:rPr>
                <w:rFonts w:ascii="Arial" w:cs="Arial" w:eastAsia="Arial" w:hAnsi="Arial"/>
                <w:sz w:val="22"/>
                <w:szCs w:val="22"/>
              </w:rPr>
              <w:t xml:space="preserve">15</w:t>
            </w:r>
          </w:p>
        </w:tc>
        <w:tc>
          <w:tcPr>
            <w:tcW w:type="dxa" w:w="8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0,5</w:t>
            </w:r>
            <w:r>
              <w:rPr>
                <w:rFonts w:ascii="Arial" w:cs="Arial" w:eastAsia="Arial" w:hAnsi="Arial"/>
                <w:sz w:val="22"/>
                <w:szCs w:val="22"/>
              </w:rPr>
              <w:t xml:space="preserve">20</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0,55</w:t>
            </w:r>
            <w:r>
              <w:rPr>
                <w:rFonts w:ascii="Arial" w:cs="Arial" w:eastAsia="Arial" w:hAnsi="Arial"/>
                <w:sz w:val="22"/>
                <w:szCs w:val="22"/>
              </w:rPr>
              <w:t xml:space="preserve">21</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0,6</w:t>
            </w:r>
            <w:r>
              <w:rPr>
                <w:rFonts w:ascii="Arial" w:cs="Arial" w:eastAsia="Arial" w:hAnsi="Arial"/>
                <w:sz w:val="22"/>
                <w:szCs w:val="22"/>
              </w:rPr>
              <w:t xml:space="preserve">23</w:t>
            </w:r>
          </w:p>
        </w:tc>
        <w:tc>
          <w:tcPr>
            <w:tcW w:type="dxa" w:w="11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0,65</w:t>
            </w:r>
            <w:r>
              <w:rPr>
                <w:rFonts w:ascii="Arial" w:cs="Arial" w:eastAsia="Arial" w:hAnsi="Arial"/>
                <w:sz w:val="22"/>
                <w:szCs w:val="22"/>
              </w:rPr>
              <w:t xml:space="preserve">24</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0,7</w:t>
            </w:r>
            <w:r>
              <w:rPr>
                <w:rFonts w:ascii="Arial" w:cs="Arial" w:eastAsia="Arial" w:hAnsi="Arial"/>
                <w:sz w:val="22"/>
                <w:szCs w:val="22"/>
              </w:rPr>
              <w:t xml:space="preserve">26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0,75</w:t>
            </w:r>
            <w:r>
              <w:rPr>
                <w:rFonts w:ascii="Arial" w:cs="Arial" w:eastAsia="Arial" w:hAnsi="Arial"/>
                <w:sz w:val="22"/>
                <w:szCs w:val="22"/>
              </w:rPr>
              <w:t xml:space="preserve">28</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0,8</w:t>
            </w:r>
            <w:r>
              <w:rPr>
                <w:rFonts w:ascii="Arial" w:cs="Arial" w:eastAsia="Arial" w:hAnsi="Arial"/>
                <w:sz w:val="22"/>
                <w:szCs w:val="22"/>
              </w:rPr>
              <w:t xml:space="preserve">29</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0,85</w:t>
            </w:r>
            <w:r>
              <w:rPr>
                <w:rFonts w:ascii="Arial" w:cs="Arial" w:eastAsia="Arial" w:hAnsi="Arial"/>
                <w:sz w:val="22"/>
                <w:szCs w:val="22"/>
              </w:rPr>
              <w:t xml:space="preserve">31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w:t>
            </w:r>
            <w:r>
              <w:rPr>
                <w:rFonts w:ascii="Arial" w:cs="Arial" w:eastAsia="Arial" w:hAnsi="Arial"/>
                <w:sz w:val="22"/>
                <w:szCs w:val="22"/>
              </w:rPr>
              <w:t xml:space="preserve">32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0,95</w:t>
            </w:r>
            <w:r>
              <w:rPr>
                <w:rFonts w:ascii="Arial" w:cs="Arial" w:eastAsia="Arial" w:hAnsi="Arial"/>
                <w:sz w:val="22"/>
                <w:szCs w:val="22"/>
              </w:rPr>
              <w:t xml:space="preserve">34</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w:t>
            </w:r>
            <w:r>
              <w:rPr>
                <w:rFonts w:ascii="Arial" w:cs="Arial" w:eastAsia="Arial" w:hAnsi="Arial"/>
                <w:sz w:val="22"/>
                <w:szCs w:val="22"/>
              </w:rPr>
              <w:t xml:space="preserve">35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1,05</w:t>
            </w:r>
            <w:r>
              <w:rPr>
                <w:rFonts w:ascii="Arial" w:cs="Arial" w:eastAsia="Arial" w:hAnsi="Arial"/>
                <w:sz w:val="22"/>
                <w:szCs w:val="22"/>
              </w:rPr>
              <w:t xml:space="preserve">36</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w:t>
            </w:r>
            <w:r>
              <w:rPr>
                <w:rFonts w:ascii="Arial" w:cs="Arial" w:eastAsia="Arial" w:hAnsi="Arial"/>
                <w:sz w:val="22"/>
                <w:szCs w:val="22"/>
              </w:rPr>
              <w:t xml:space="preserve">38</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1,15</w:t>
            </w:r>
            <w:r>
              <w:rPr>
                <w:rFonts w:ascii="Arial" w:cs="Arial" w:eastAsia="Arial" w:hAnsi="Arial"/>
                <w:sz w:val="22"/>
                <w:szCs w:val="22"/>
              </w:rPr>
              <w:t xml:space="preserve">39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w:t>
            </w:r>
            <w:r>
              <w:rPr>
                <w:rFonts w:ascii="Arial" w:cs="Arial" w:eastAsia="Arial" w:hAnsi="Arial"/>
                <w:sz w:val="22"/>
                <w:szCs w:val="22"/>
              </w:rPr>
              <w:t xml:space="preserve">40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1,25</w:t>
            </w:r>
            <w:r>
              <w:rPr>
                <w:rFonts w:ascii="Arial" w:cs="Arial" w:eastAsia="Arial" w:hAnsi="Arial"/>
                <w:sz w:val="22"/>
                <w:szCs w:val="22"/>
              </w:rPr>
              <w:t xml:space="preserve">42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w:t>
            </w:r>
            <w:r>
              <w:rPr>
                <w:rFonts w:ascii="Arial" w:cs="Arial" w:eastAsia="Arial" w:hAnsi="Arial"/>
                <w:sz w:val="22"/>
                <w:szCs w:val="22"/>
              </w:rPr>
              <w:t xml:space="preserve">43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1,35</w:t>
            </w:r>
            <w:r>
              <w:rPr>
                <w:rFonts w:ascii="Arial" w:cs="Arial" w:eastAsia="Arial" w:hAnsi="Arial"/>
                <w:sz w:val="22"/>
                <w:szCs w:val="22"/>
              </w:rPr>
              <w:t xml:space="preserve">44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w:t>
            </w:r>
            <w:r>
              <w:rPr>
                <w:rFonts w:ascii="Arial" w:cs="Arial" w:eastAsia="Arial" w:hAnsi="Arial"/>
                <w:sz w:val="22"/>
                <w:szCs w:val="22"/>
              </w:rPr>
              <w:t xml:space="preserve">45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1,45</w:t>
            </w:r>
            <w:r>
              <w:rPr>
                <w:rFonts w:ascii="Arial" w:cs="Arial" w:eastAsia="Arial" w:hAnsi="Arial"/>
                <w:sz w:val="22"/>
                <w:szCs w:val="22"/>
              </w:rPr>
              <w:t xml:space="preserve">46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w:t>
            </w:r>
            <w:r>
              <w:rPr>
                <w:rFonts w:ascii="Arial" w:cs="Arial" w:eastAsia="Arial" w:hAnsi="Arial"/>
                <w:sz w:val="22"/>
                <w:szCs w:val="22"/>
              </w:rPr>
              <w:t xml:space="preserve">47</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w:t>
            </w:r>
            <w:r>
              <w:rPr>
                <w:rFonts w:ascii="Arial" w:cs="Arial" w:eastAsia="Arial" w:hAnsi="Arial"/>
                <w:sz w:val="22"/>
                <w:szCs w:val="22"/>
              </w:rPr>
              <w:t xml:space="preserve">49</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w:t>
            </w:r>
            <w:r>
              <w:rPr>
                <w:rFonts w:ascii="Arial" w:cs="Arial" w:eastAsia="Arial" w:hAnsi="Arial"/>
                <w:sz w:val="22"/>
                <w:szCs w:val="22"/>
              </w:rPr>
              <w:t xml:space="preserve">50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1,65</w:t>
            </w:r>
            <w:r>
              <w:rPr>
                <w:rFonts w:ascii="Arial" w:cs="Arial" w:eastAsia="Arial" w:hAnsi="Arial"/>
                <w:sz w:val="22"/>
                <w:szCs w:val="22"/>
              </w:rPr>
              <w:t xml:space="preserve">51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w:t>
            </w:r>
            <w:r>
              <w:rPr>
                <w:rFonts w:ascii="Arial" w:cs="Arial" w:eastAsia="Arial" w:hAnsi="Arial"/>
                <w:sz w:val="22"/>
                <w:szCs w:val="22"/>
              </w:rPr>
              <w:t xml:space="preserve">52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w:t>
            </w:r>
            <w:r>
              <w:rPr>
                <w:rFonts w:ascii="Arial" w:cs="Arial" w:eastAsia="Arial" w:hAnsi="Arial"/>
                <w:sz w:val="22"/>
                <w:szCs w:val="22"/>
              </w:rPr>
              <w:t xml:space="preserve">53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w:t>
            </w:r>
            <w:r>
              <w:rPr>
                <w:rFonts w:ascii="Arial" w:cs="Arial" w:eastAsia="Arial" w:hAnsi="Arial"/>
                <w:sz w:val="22"/>
                <w:szCs w:val="22"/>
              </w:rPr>
              <w:t xml:space="preserve">54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1,85</w:t>
            </w:r>
            <w:r>
              <w:rPr>
                <w:rFonts w:ascii="Arial" w:cs="Arial" w:eastAsia="Arial" w:hAnsi="Arial"/>
                <w:sz w:val="22"/>
                <w:szCs w:val="22"/>
              </w:rPr>
              <w:t xml:space="preserve">55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w:t>
            </w:r>
            <w:r>
              <w:rPr>
                <w:rFonts w:ascii="Arial" w:cs="Arial" w:eastAsia="Arial" w:hAnsi="Arial"/>
                <w:sz w:val="22"/>
                <w:szCs w:val="22"/>
              </w:rPr>
              <w:t xml:space="preserve">56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1,95</w:t>
            </w:r>
            <w:r>
              <w:rPr>
                <w:rFonts w:ascii="Arial" w:cs="Arial" w:eastAsia="Arial" w:hAnsi="Arial"/>
                <w:sz w:val="22"/>
                <w:szCs w:val="22"/>
              </w:rPr>
              <w:t xml:space="preserve">57</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w:t>
            </w:r>
            <w:r>
              <w:rPr>
                <w:rFonts w:ascii="Arial" w:cs="Arial" w:eastAsia="Arial" w:hAnsi="Arial"/>
                <w:sz w:val="22"/>
                <w:szCs w:val="22"/>
              </w:rPr>
              <w:t xml:space="preserve">58</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2,05</w:t>
            </w:r>
            <w:r>
              <w:rPr>
                <w:rFonts w:ascii="Arial" w:cs="Arial" w:eastAsia="Arial" w:hAnsi="Arial"/>
                <w:sz w:val="22"/>
                <w:szCs w:val="22"/>
              </w:rPr>
              <w:t xml:space="preserve">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w:t>
            </w:r>
            <w:r>
              <w:rPr>
                <w:rFonts w:ascii="Arial" w:cs="Arial" w:eastAsia="Arial" w:hAnsi="Arial"/>
                <w:sz w:val="22"/>
                <w:szCs w:val="22"/>
              </w:rPr>
              <w:t xml:space="preserve">59,5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2,15</w:t>
            </w:r>
            <w:r>
              <w:rPr>
                <w:rFonts w:ascii="Arial" w:cs="Arial" w:eastAsia="Arial" w:hAnsi="Arial"/>
                <w:sz w:val="22"/>
                <w:szCs w:val="22"/>
              </w:rPr>
              <w:t xml:space="preserve">60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w:t>
            </w:r>
            <w:r>
              <w:rPr>
                <w:rFonts w:ascii="Arial" w:cs="Arial" w:eastAsia="Arial" w:hAnsi="Arial"/>
                <w:sz w:val="22"/>
                <w:szCs w:val="22"/>
              </w:rPr>
              <w:t xml:space="preserve">61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2,25</w:t>
            </w:r>
            <w:r>
              <w:rPr>
                <w:rFonts w:ascii="Arial" w:cs="Arial" w:eastAsia="Arial" w:hAnsi="Arial"/>
                <w:sz w:val="22"/>
                <w:szCs w:val="22"/>
              </w:rPr>
              <w:t xml:space="preserve">62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w:t>
            </w:r>
            <w:r>
              <w:rPr>
                <w:rFonts w:ascii="Arial" w:cs="Arial" w:eastAsia="Arial" w:hAnsi="Arial"/>
                <w:sz w:val="22"/>
                <w:szCs w:val="22"/>
              </w:rPr>
              <w:t xml:space="preserve">63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w:t>
            </w:r>
            <w:r>
              <w:rPr>
                <w:rFonts w:ascii="Arial" w:cs="Arial" w:eastAsia="Arial" w:hAnsi="Arial"/>
                <w:sz w:val="22"/>
                <w:szCs w:val="22"/>
              </w:rPr>
              <w:t xml:space="preserve">64</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w:t>
            </w:r>
            <w:r>
              <w:rPr>
                <w:rFonts w:ascii="Arial" w:cs="Arial" w:eastAsia="Arial" w:hAnsi="Arial"/>
                <w:sz w:val="22"/>
                <w:szCs w:val="22"/>
              </w:rPr>
              <w:t xml:space="preserve">64,4</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2,45</w:t>
            </w:r>
            <w:r>
              <w:rPr>
                <w:rFonts w:ascii="Arial" w:cs="Arial" w:eastAsia="Arial" w:hAnsi="Arial"/>
                <w:sz w:val="22"/>
                <w:szCs w:val="22"/>
              </w:rPr>
              <w:t xml:space="preserve">65</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w:t>
            </w:r>
            <w:r>
              <w:rPr>
                <w:rFonts w:ascii="Arial" w:cs="Arial" w:eastAsia="Arial" w:hAnsi="Arial"/>
                <w:sz w:val="22"/>
                <w:szCs w:val="22"/>
              </w:rPr>
              <w:t xml:space="preserve">66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2,55</w:t>
            </w:r>
            <w:r>
              <w:rPr>
                <w:rFonts w:ascii="Arial" w:cs="Arial" w:eastAsia="Arial" w:hAnsi="Arial"/>
                <w:sz w:val="22"/>
                <w:szCs w:val="22"/>
              </w:rPr>
              <w:t xml:space="preserve">67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w:t>
            </w:r>
            <w:r>
              <w:rPr>
                <w:rFonts w:ascii="Arial" w:cs="Arial" w:eastAsia="Arial" w:hAnsi="Arial"/>
                <w:sz w:val="22"/>
                <w:szCs w:val="22"/>
              </w:rPr>
              <w:t xml:space="preserve">67,3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2,65</w:t>
            </w:r>
            <w:r>
              <w:rPr>
                <w:rFonts w:ascii="Arial" w:cs="Arial" w:eastAsia="Arial" w:hAnsi="Arial"/>
                <w:sz w:val="22"/>
                <w:szCs w:val="22"/>
              </w:rPr>
              <w:t xml:space="preserve">68</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w:t>
            </w:r>
            <w:r>
              <w:rPr>
                <w:rFonts w:ascii="Arial" w:cs="Arial" w:eastAsia="Arial" w:hAnsi="Arial"/>
                <w:sz w:val="22"/>
                <w:szCs w:val="22"/>
              </w:rPr>
              <w:t xml:space="preserve">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2,75</w:t>
            </w:r>
            <w:r>
              <w:rPr>
                <w:rFonts w:ascii="Arial" w:cs="Arial" w:eastAsia="Arial" w:hAnsi="Arial"/>
                <w:sz w:val="22"/>
                <w:szCs w:val="22"/>
              </w:rPr>
              <w:t xml:space="preserve">69,3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w:t>
            </w:r>
            <w:r>
              <w:rPr>
                <w:rFonts w:ascii="Arial" w:cs="Arial" w:eastAsia="Arial" w:hAnsi="Arial"/>
                <w:sz w:val="22"/>
                <w:szCs w:val="22"/>
              </w:rPr>
              <w:t xml:space="preserve">70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2,85</w:t>
            </w:r>
            <w:r>
              <w:rPr>
                <w:rFonts w:ascii="Arial" w:cs="Arial" w:eastAsia="Arial" w:hAnsi="Arial"/>
                <w:sz w:val="22"/>
                <w:szCs w:val="22"/>
              </w:rPr>
              <w:t xml:space="preserve">71</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2,9</w:t>
            </w:r>
            <w:r>
              <w:rPr>
                <w:rFonts w:ascii="Arial" w:cs="Arial" w:eastAsia="Arial" w:hAnsi="Arial"/>
                <w:sz w:val="22"/>
                <w:szCs w:val="22"/>
              </w:rPr>
              <w:t xml:space="preserve">71,3</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w:t>
            </w:r>
            <w:r>
              <w:rPr>
                <w:rFonts w:ascii="Arial" w:cs="Arial" w:eastAsia="Arial" w:hAnsi="Arial"/>
                <w:sz w:val="22"/>
                <w:szCs w:val="22"/>
              </w:rPr>
              <w:t xml:space="preserve">72,5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3,05</w:t>
            </w:r>
            <w:r>
              <w:rPr>
                <w:rFonts w:ascii="Arial" w:cs="Arial" w:eastAsia="Arial" w:hAnsi="Arial"/>
                <w:sz w:val="22"/>
                <w:szCs w:val="22"/>
              </w:rPr>
              <w:t xml:space="preserve">73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w:t>
            </w:r>
            <w:r>
              <w:rPr>
                <w:rFonts w:ascii="Arial" w:cs="Arial" w:eastAsia="Arial" w:hAnsi="Arial"/>
                <w:sz w:val="22"/>
                <w:szCs w:val="22"/>
              </w:rPr>
              <w:t xml:space="preserve">73,6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3,15</w:t>
            </w:r>
            <w:r>
              <w:rPr>
                <w:rFonts w:ascii="Arial" w:cs="Arial" w:eastAsia="Arial" w:hAnsi="Arial"/>
                <w:sz w:val="22"/>
                <w:szCs w:val="22"/>
              </w:rPr>
              <w:t xml:space="preserve">72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w:t>
            </w:r>
            <w:r>
              <w:rPr>
                <w:rFonts w:ascii="Arial" w:cs="Arial" w:eastAsia="Arial" w:hAnsi="Arial"/>
                <w:sz w:val="22"/>
                <w:szCs w:val="22"/>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3,25</w:t>
            </w:r>
            <w:r>
              <w:rPr>
                <w:rFonts w:ascii="Arial" w:cs="Arial" w:eastAsia="Arial" w:hAnsi="Arial"/>
                <w:sz w:val="22"/>
                <w:szCs w:val="22"/>
              </w:rPr>
              <w:t xml:space="preserve">75,3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w:t>
            </w:r>
            <w:r>
              <w:rPr>
                <w:rFonts w:ascii="Arial" w:cs="Arial" w:eastAsia="Arial" w:hAnsi="Arial"/>
                <w:sz w:val="22"/>
                <w:szCs w:val="22"/>
              </w:rPr>
              <w:t xml:space="preserve">76</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3,35</w:t>
            </w:r>
            <w:r>
              <w:rPr>
                <w:rFonts w:ascii="Arial" w:cs="Arial" w:eastAsia="Arial" w:hAnsi="Arial"/>
                <w:sz w:val="22"/>
                <w:szCs w:val="22"/>
              </w:rPr>
              <w:t xml:space="preserve">76,3</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w:t>
            </w:r>
            <w:r>
              <w:rPr>
                <w:rFonts w:ascii="Arial" w:cs="Arial" w:eastAsia="Arial" w:hAnsi="Arial"/>
                <w:sz w:val="22"/>
                <w:szCs w:val="22"/>
              </w:rPr>
              <w:t xml:space="preserve">77</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3,45</w:t>
            </w:r>
            <w:r>
              <w:rPr>
                <w:rFonts w:ascii="Arial" w:cs="Arial" w:eastAsia="Arial" w:hAnsi="Arial"/>
                <w:sz w:val="22"/>
                <w:szCs w:val="22"/>
              </w:rPr>
              <w:t xml:space="preserve">77,3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w:t>
            </w:r>
            <w:r>
              <w:rPr>
                <w:rFonts w:ascii="Arial" w:cs="Arial" w:eastAsia="Arial" w:hAnsi="Arial"/>
                <w:sz w:val="22"/>
                <w:szCs w:val="22"/>
              </w:rPr>
              <w:t xml:space="preserve">78</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3,55</w:t>
            </w:r>
            <w:r>
              <w:rPr>
                <w:rFonts w:ascii="Arial" w:cs="Arial" w:eastAsia="Arial" w:hAnsi="Arial"/>
                <w:sz w:val="22"/>
                <w:szCs w:val="22"/>
              </w:rPr>
              <w:t xml:space="preserve">78,3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w:t>
            </w:r>
            <w:r>
              <w:rPr>
                <w:rFonts w:ascii="Arial" w:cs="Arial" w:eastAsia="Arial" w:hAnsi="Arial"/>
                <w:sz w:val="22"/>
                <w:szCs w:val="22"/>
              </w:rPr>
              <w:t xml:space="preserve">79</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3,65</w:t>
            </w:r>
            <w:r>
              <w:rPr>
                <w:rFonts w:ascii="Arial" w:cs="Arial" w:eastAsia="Arial" w:hAnsi="Arial"/>
                <w:sz w:val="22"/>
                <w:szCs w:val="22"/>
              </w:rPr>
              <w:t xml:space="preserve">79,2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w:t>
            </w:r>
            <w:r>
              <w:rPr>
                <w:rFonts w:ascii="Arial" w:cs="Arial" w:eastAsia="Arial" w:hAnsi="Arial"/>
                <w:sz w:val="22"/>
                <w:szCs w:val="22"/>
              </w:rPr>
              <w:t xml:space="preserve">80</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3,75</w:t>
            </w:r>
            <w:r>
              <w:rPr>
                <w:rFonts w:ascii="Arial" w:cs="Arial" w:eastAsia="Arial" w:hAnsi="Arial"/>
                <w:sz w:val="22"/>
                <w:szCs w:val="22"/>
              </w:rPr>
              <w:t xml:space="preserve">80,1</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w:t>
            </w:r>
            <w:r>
              <w:rPr>
                <w:rFonts w:ascii="Arial" w:cs="Arial" w:eastAsia="Arial" w:hAnsi="Arial"/>
                <w:sz w:val="22"/>
                <w:szCs w:val="22"/>
              </w:rPr>
              <w:t xml:space="preserve">80,5</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3,85</w:t>
            </w:r>
            <w:r>
              <w:rPr>
                <w:rFonts w:ascii="Arial" w:cs="Arial" w:eastAsia="Arial" w:hAnsi="Arial"/>
                <w:sz w:val="22"/>
                <w:szCs w:val="22"/>
              </w:rPr>
              <w:t xml:space="preserve">81</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2"/>
                <w:szCs w:val="22"/>
              </w:rPr>
              <w:t xml:space="preserve">k</w:t>
            </w:r>
            <w:r>
              <w:rPr>
                <w:rFonts w:ascii="Arial" w:cs="Arial" w:eastAsia="Arial" w:hAnsi="Arial"/>
                <w:sz w:val="22"/>
                <w:szCs w:val="22"/>
              </w:rPr>
              <w:t xml:space="preserve">,</w:t>
            </w:r>
            <w:r>
              <w:rPr>
                <w:rFonts w:ascii="Arial" w:cs="Arial" w:eastAsia="Arial" w:hAnsi="Arial"/>
                <w:sz w:val="22"/>
                <w:szCs w:val="22"/>
              </w:rPr>
              <w:t xml:space="preserve">м</w:t>
            </w:r>
            <w:r>
              <w:rPr>
                <w:rFonts w:ascii="Arial" w:cs="Arial" w:eastAsia="Arial" w:hAnsi="Arial"/>
                <w:sz w:val="18"/>
                <w:szCs w:val="18"/>
              </w:rPr>
              <w:t xml:space="preserve">-1</w:t>
            </w:r>
            <w:r>
              <w:rPr>
                <w:rFonts w:ascii="Arial" w:cs="Arial" w:eastAsia="Arial" w:hAnsi="Arial"/>
                <w:i/>
                <w:iCs/>
                <w:sz w:val="22"/>
                <w:szCs w:val="22"/>
              </w:rPr>
              <w:t xml:space="preserve">N</w:t>
            </w:r>
            <w:r>
              <w:rPr>
                <w:rFonts w:ascii="Arial" w:cs="Arial" w:eastAsia="Arial" w:hAnsi="Arial"/>
                <w:sz w:val="22"/>
                <w:szCs w:val="22"/>
              </w:rPr>
              <w:t xml:space="preserve">, %</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w:t>
            </w:r>
            <w:r>
              <w:rPr>
                <w:rFonts w:ascii="Arial" w:cs="Arial" w:eastAsia="Arial" w:hAnsi="Arial"/>
                <w:sz w:val="22"/>
                <w:szCs w:val="22"/>
              </w:rPr>
              <w:t xml:space="preserve">81,3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3,95</w:t>
            </w:r>
            <w:r>
              <w:rPr>
                <w:rFonts w:ascii="Arial" w:cs="Arial" w:eastAsia="Arial" w:hAnsi="Arial"/>
                <w:sz w:val="22"/>
                <w:szCs w:val="22"/>
              </w:rPr>
              <w:t xml:space="preserve">81,7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w:t>
            </w:r>
            <w:r>
              <w:rPr>
                <w:rFonts w:ascii="Arial" w:cs="Arial" w:eastAsia="Arial" w:hAnsi="Arial"/>
                <w:sz w:val="22"/>
                <w:szCs w:val="22"/>
              </w:rPr>
              <w:t xml:space="preserve">82</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4,05</w:t>
            </w:r>
            <w:r>
              <w:rPr>
                <w:rFonts w:ascii="Arial" w:cs="Arial" w:eastAsia="Arial" w:hAnsi="Arial"/>
                <w:sz w:val="22"/>
                <w:szCs w:val="22"/>
              </w:rPr>
              <w:t xml:space="preserve">82,5</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w:t>
            </w:r>
            <w:r>
              <w:rPr>
                <w:rFonts w:ascii="Arial" w:cs="Arial" w:eastAsia="Arial" w:hAnsi="Arial"/>
                <w:sz w:val="22"/>
                <w:szCs w:val="22"/>
              </w:rPr>
              <w:t xml:space="preserve">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4,15</w:t>
            </w:r>
            <w:r>
              <w:rPr>
                <w:rFonts w:ascii="Arial" w:cs="Arial" w:eastAsia="Arial" w:hAnsi="Arial"/>
                <w:sz w:val="22"/>
                <w:szCs w:val="22"/>
              </w:rPr>
              <w:t xml:space="preserve">83,3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w:t>
            </w:r>
            <w:r>
              <w:rPr>
                <w:rFonts w:ascii="Arial" w:cs="Arial" w:eastAsia="Arial" w:hAnsi="Arial"/>
                <w:sz w:val="22"/>
                <w:szCs w:val="22"/>
              </w:rPr>
              <w:t xml:space="preserve">83,7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4,25</w:t>
            </w:r>
            <w:r>
              <w:rPr>
                <w:rFonts w:ascii="Arial" w:cs="Arial" w:eastAsia="Arial" w:hAnsi="Arial"/>
                <w:sz w:val="22"/>
                <w:szCs w:val="22"/>
              </w:rPr>
              <w:t xml:space="preserve">84</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r>
              <w:rPr>
                <w:rFonts w:ascii="Arial" w:cs="Arial" w:eastAsia="Arial" w:hAnsi="Arial"/>
                <w:sz w:val="22"/>
                <w:szCs w:val="22"/>
              </w:rPr>
              <w:t xml:space="preserve">100</w:t>
            </w:r>
          </w:p>
        </w:tc>
        <w:tc>
          <w:tcPr>
            <w:tcW w:type="dxa" w:w="2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4"/>
            <w:gridSpan w:val="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4</w:t>
      </w:r>
      <w:r>
        <w:rPr>
          <w:rFonts w:ascii="Arial" w:cs="Arial" w:eastAsia="Arial" w:hAnsi="Arial"/>
          <w:sz w:val="28"/>
          <w:szCs w:val="28"/>
        </w:rPr>
        <w:t xml:space="preserve">
 к Порядку осуществления государственного контроля за выбросами загрязняющих веществ передвижными источниками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Экологические классы автотранспортного средства в зависимости от страны производителя и года выпуска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2677"/>
        <w:gridCol w:w="1661"/>
        <w:gridCol w:w="1661"/>
        <w:gridCol w:w="1661"/>
      </w:tblGrid>
      <w:tr>
        <w:tc>
          <w:tcPr>
            <w:tcW w:type="dxa" w:w="25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Страна производитель транспортного средства</w:t>
            </w:r>
          </w:p>
        </w:tc>
        <w:tc>
          <w:tcPr>
            <w:tcW w:type="dxa" w:w="2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двигателя</w:t>
            </w:r>
          </w:p>
        </w:tc>
        <w:tc>
          <w:tcPr>
            <w:tcW w:type="dxa" w:w="498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Экологический класс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 6</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выпуска</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 Россия, Кыргызстан, Узбекистан</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 2012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 2015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2016</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 2012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 2015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2016</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Страны
 Европейского Союза (ЕС), </w:t>
            </w:r>
            <w:r>
              <w:rPr>
                <w:rFonts w:ascii="Arial" w:cs="Arial" w:eastAsia="Arial" w:hAnsi="Arial"/>
                <w:sz w:val="24"/>
                <w:szCs w:val="24"/>
              </w:rPr>
              <w:t xml:space="preserve">Великобритания</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 2009</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 –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 2009</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2005-2010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2003-2005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2006</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2003-2005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2006</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2001-2003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2001-2003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2010</w:t>
            </w:r>
          </w:p>
        </w:tc>
      </w:tr>
      <w:tr>
        <w:tc>
          <w:tcPr>
            <w:tcW w:type="dxa" w:w="25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принудительным зажиганием</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2008- 2010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2013</w:t>
            </w:r>
          </w:p>
        </w:tc>
      </w:tr>
      <w:tr>
        <w:tc>
          <w:tcPr>
            <w:vMerge w:val="continue"/>
            <w:tcBorders>
              <w:top w:val="none" w:color="auto" w:sz="0"/>
              <w:left w:val="single" w:color="CBBF9E" w:sz="4"/>
              <w:bottom w:val="single" w:color="CBBF9E" w:sz="4"/>
              <w:right w:val="single" w:color="CBBF9E" w:sz="4"/>
            </w:tcBorders>
          </w:tcP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2008</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2011</w:t>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iv3zvm16wdx2pcge1rm">
      <w:r>
        <w:rPr>
          <w:rFonts w:ascii="Arial" w:cs="Arial" w:eastAsia="Arial" w:hAnsi="Arial"/>
          <w:color w:val="132D3F"/>
          <w:sz w:val="16"/>
          <w:szCs w:val="16"/>
          <w:u w:val="single"/>
        </w:rPr>
        <w:t xml:space="preserve">dalil.kg/document/230043789</w:t>
      </w:r>
    </w:hyperlink>
  </w:p>
  <w:p>
    <w:pPr>
      <w:spacing w:after="0" w:before="40"/>
      <w:jc w:val="center"/>
    </w:pPr>
    <w:hyperlink w:history="1" r:id="rIdlbixsg0ht0pcu-cgudb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nvvd0w6kdwsaer-jmey" Type="http://schemas.openxmlformats.org/officeDocument/2006/relationships/hyperlink" Target="https://dalil.kg/document/230043787" TargetMode="External"/><Relationship Id="rIdyuh5xji5swob68eersbpd" Type="http://schemas.openxmlformats.org/officeDocument/2006/relationships/hyperlink" Target="https://dalil.kg/document/112306" TargetMode="External"/><Relationship Id="rIdaz80wlfr3krdyek-riuzi" Type="http://schemas.openxmlformats.org/officeDocument/2006/relationships/hyperlink" Target="https://dalil.kg/document/216" TargetMode="External"/><Relationship Id="rIdwss9mneakoortyaq68hsb" Type="http://schemas.openxmlformats.org/officeDocument/2006/relationships/hyperlink" Target="https://dalil.kg/document/218" TargetMode="External"/><Relationship Id="rIdobcqt4bsxrhnmelrjnu0o" Type="http://schemas.openxmlformats.org/officeDocument/2006/relationships/hyperlink" Target="https://dalil.kg/document/160306" TargetMode="External"/><Relationship Id="rIdfv1pfqzlyfkwgfvthnavb" Type="http://schemas.openxmlformats.org/officeDocument/2006/relationships/hyperlink" Target="https://dalil.kg/document/205339" TargetMode="External"/><Relationship Id="rIdqrobydtpvvp0-ja2utilp" Type="http://schemas.openxmlformats.org/officeDocument/2006/relationships/hyperlink" Target="https://dalil.kg/document/157118" TargetMode="External"/><Relationship Id="rIdqaisz-pqvpnrx6rcnlayo" Type="http://schemas.openxmlformats.org/officeDocument/2006/relationships/hyperlink" Target="https://dalil.kg/document/230043789#pr1" TargetMode="External"/><Relationship Id="rId5lywz6bmy7jhr9bvthsmd" Type="http://schemas.openxmlformats.org/officeDocument/2006/relationships/hyperlink" Target="https://dalil.kg/document/230043789#pr2" TargetMode="External"/><Relationship Id="rIdsijpwnimfj-xayadn8p9_" Type="http://schemas.openxmlformats.org/officeDocument/2006/relationships/hyperlink" Target="https://dalil.kg/document/230043789#pr4" TargetMode="External"/><Relationship Id="rIdgynvq-wpvr7gap8no0acf"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iv3zvm16wdx2pcge1rm" Type="http://schemas.openxmlformats.org/officeDocument/2006/relationships/hyperlink" Target="https://dalil.kg/document/230043789" TargetMode="External"/><Relationship Id="rIdlbixsg0ht0pcu-cgudb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2026-09-26T16:09:03.321Z</dcterms:created>
  <dcterms:modified xsi:type="dcterms:W3CDTF">2026-09-26T16:09:03.321Z</dcterms:modified>
</cp:coreProperties>
</file>

<file path=docProps/custom.xml><?xml version="1.0" encoding="utf-8"?>
<Properties xmlns="http://schemas.openxmlformats.org/officeDocument/2006/custom-properties" xmlns:vt="http://schemas.openxmlformats.org/officeDocument/2006/docPropsVTypes"/>
</file>