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ppd_a6zmk0enwhapiyj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2026 года № 212)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тарифной ставке (окладу) работников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Академии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государственного управления при Президенте Кыргызской Республики имени Жусупа Абдрахманова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6595"/>
        <w:gridCol w:w="3028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в месяц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проректор по профессиональному развитию государственных и муниципальных служащих,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роректор по академической и научной работе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финансовой и инфраструктурной деятельности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финансовым отделом (главный бухгалтер)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экономист, ведущий специалист, юрист 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инженер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Водитель, заведующий складом, диспетчер, оператор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электрик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(вахтер, охранник), подсобный рабочий, уборщик служебных помещений (территорий)</w:t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Работникам Академии в зависимости от качества выполняемой работы по решению ректора Академии выплачивается почасовая дифференцированная надбавка (не более чем на одну ставку) в следующих размерах: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ректору – </w:t>
      </w:r>
      <w:r>
        <w:rPr>
          <w:rFonts w:ascii="Arial" w:cs="Arial" w:eastAsia="Arial" w:hAnsi="Arial"/>
          <w:sz w:val="24"/>
          <w:szCs w:val="24"/>
        </w:rPr>
        <w:t xml:space="preserve">23 00</w:t>
      </w:r>
      <w:r>
        <w:rPr>
          <w:rFonts w:ascii="Arial" w:cs="Arial" w:eastAsia="Arial" w:hAnsi="Arial"/>
          <w:sz w:val="24"/>
          <w:szCs w:val="24"/>
        </w:rPr>
        <w:t xml:space="preserve">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первому проректору и проректору</w:t>
      </w:r>
      <w:r>
        <w:rPr>
          <w:rFonts w:ascii="Arial" w:cs="Arial" w:eastAsia="Arial" w:hAnsi="Arial"/>
          <w:sz w:val="24"/>
          <w:szCs w:val="24"/>
        </w:rPr>
        <w:t xml:space="preserve"> по академической и научной работе – 13</w:t>
      </w:r>
      <w:r>
        <w:rPr>
          <w:rFonts w:ascii="Arial" w:cs="Arial" w:eastAsia="Arial" w:hAnsi="Arial"/>
          <w:sz w:val="24"/>
          <w:szCs w:val="24"/>
        </w:rPr>
        <w:t xml:space="preserve"> 000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проректору по финансовой и инфраструктурной деятельности – 9</w:t>
      </w:r>
      <w:r>
        <w:rPr>
          <w:rFonts w:ascii="Arial" w:cs="Arial" w:eastAsia="Arial" w:hAnsi="Arial"/>
          <w:sz w:val="24"/>
          <w:szCs w:val="24"/>
        </w:rPr>
        <w:t xml:space="preserve"> 00</w:t>
      </w:r>
      <w:r>
        <w:rPr>
          <w:rFonts w:ascii="Arial" w:cs="Arial" w:eastAsia="Arial" w:hAnsi="Arial"/>
          <w:sz w:val="24"/>
          <w:szCs w:val="24"/>
        </w:rPr>
        <w:t xml:space="preserve">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заведующему финансовым отделом (главному бухгалтеру) – 3</w:t>
      </w:r>
      <w:r>
        <w:rPr>
          <w:rFonts w:ascii="Arial" w:cs="Arial" w:eastAsia="Arial" w:hAnsi="Arial"/>
          <w:sz w:val="24"/>
          <w:szCs w:val="24"/>
        </w:rPr>
        <w:t xml:space="preserve">0 </w:t>
      </w:r>
      <w:r>
        <w:rPr>
          <w:rFonts w:ascii="Arial" w:cs="Arial" w:eastAsia="Arial" w:hAnsi="Arial"/>
          <w:sz w:val="24"/>
          <w:szCs w:val="24"/>
        </w:rPr>
        <w:t xml:space="preserve">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sz w:val="24"/>
          <w:szCs w:val="24"/>
        </w:rPr>
        <w:t xml:space="preserve">заведующему отделом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 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главному специалисту – </w:t>
      </w:r>
      <w:r>
        <w:rPr>
          <w:rFonts w:ascii="Arial" w:cs="Arial" w:eastAsia="Arial" w:hAnsi="Arial"/>
          <w:sz w:val="24"/>
          <w:szCs w:val="24"/>
        </w:rPr>
        <w:t xml:space="preserve">26 500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бухгалтеру, экономисту, ведущему специалисту, юристу –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5 000 сомов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специалисту,</w:t>
      </w:r>
      <w:r>
        <w:rPr>
          <w:rFonts w:ascii="Arial" w:cs="Arial" w:eastAsia="Arial" w:hAnsi="Arial"/>
          <w:sz w:val="24"/>
          <w:szCs w:val="24"/>
        </w:rPr>
        <w:t xml:space="preserve"> инженеру </w:t>
      </w:r>
      <w:r>
        <w:rPr>
          <w:rFonts w:ascii="Arial" w:cs="Arial" w:eastAsia="Arial" w:hAnsi="Arial"/>
          <w:sz w:val="24"/>
          <w:szCs w:val="24"/>
        </w:rPr>
        <w:t xml:space="preserve">– 23</w:t>
      </w:r>
      <w:r>
        <w:rPr>
          <w:rFonts w:ascii="Arial" w:cs="Arial" w:eastAsia="Arial" w:hAnsi="Arial"/>
          <w:sz w:val="24"/>
          <w:szCs w:val="24"/>
        </w:rPr>
        <w:t xml:space="preserve">000 сомов;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коменданту – </w:t>
      </w:r>
      <w:r>
        <w:rPr>
          <w:rFonts w:ascii="Arial" w:cs="Arial" w:eastAsia="Arial" w:hAnsi="Arial"/>
          <w:sz w:val="24"/>
          <w:szCs w:val="24"/>
        </w:rPr>
        <w:t xml:space="preserve">25 </w:t>
      </w:r>
      <w:r>
        <w:rPr>
          <w:rFonts w:ascii="Arial" w:cs="Arial" w:eastAsia="Arial" w:hAnsi="Arial"/>
          <w:sz w:val="24"/>
          <w:szCs w:val="24"/>
        </w:rPr>
        <w:t xml:space="preserve">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водителю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заведующему складом – </w:t>
      </w:r>
      <w:r>
        <w:rPr>
          <w:rFonts w:ascii="Arial" w:cs="Arial" w:eastAsia="Arial" w:hAnsi="Arial"/>
          <w:sz w:val="24"/>
          <w:szCs w:val="24"/>
        </w:rPr>
        <w:t xml:space="preserve">20 </w:t>
      </w:r>
      <w:r>
        <w:rPr>
          <w:rFonts w:ascii="Arial" w:cs="Arial" w:eastAsia="Arial" w:hAnsi="Arial"/>
          <w:sz w:val="24"/>
          <w:szCs w:val="24"/>
        </w:rPr>
        <w:t xml:space="preserve">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 диспетчеру, оператору, плотнику (столяру), сантехнику, слесарю, электрику – 1</w:t>
      </w:r>
      <w:r>
        <w:rPr>
          <w:rFonts w:ascii="Arial" w:cs="Arial" w:eastAsia="Arial" w:hAnsi="Arial"/>
          <w:sz w:val="24"/>
          <w:szCs w:val="24"/>
        </w:rPr>
        <w:t xml:space="preserve">5 </w:t>
      </w:r>
      <w:r>
        <w:rPr>
          <w:rFonts w:ascii="Arial" w:cs="Arial" w:eastAsia="Arial" w:hAnsi="Arial"/>
          <w:sz w:val="24"/>
          <w:szCs w:val="24"/>
        </w:rPr>
        <w:t xml:space="preserve">000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 гардеробщику, сторожу (вахтеру, охраннику), подсобному рабочему, уборщику служебных помещений (территорий) – 13 500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Дифференцированные надбавки за профессиональное мастерство технического обслуживающего персонала устанавливаются: для рабочих 2 разряда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размере 5 процентов, 3 разряда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10 процентов, 4 разряда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15 процентов, 5 разряда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 процентов, 6 разряда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25 процентов от соответствующего должностного оклада.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Должностные оклады младшего обслуживающего персонала установлены в зависимости от степени сложности выполняемой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ogxyarirxf-wzeo-5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dalil.kg/document/230043850</w:t>
      </w:r>
    </w:hyperlink>
  </w:p>
  <w:p>
    <w:pPr>
      <w:spacing w:after="0" w:before="40"/>
      <w:jc w:val="center"/>
    </w:pPr>
    <w:hyperlink w:history="1" r:id="rId7sw6_omigxjndvw3lu7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d_a6zmk0enwhapiyjuz" Type="http://schemas.openxmlformats.org/officeDocument/2006/relationships/hyperlink" Target="https://dalil.kg/document/230043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ogxyarirxf-wzeo-5-v" Type="http://schemas.openxmlformats.org/officeDocument/2006/relationships/hyperlink" Target="https://dalil.kg/document/230043850" TargetMode="External"/><Relationship Id="rId7sw6_omigxjndvw3lu7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2026-09-24T18:22:44.786Z</dcterms:created>
  <dcterms:modified xsi:type="dcterms:W3CDTF">2026-09-24T18:22:44.786Z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