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 апреля 2026 года № 38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возобновляемых источниках энергии"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lhcavxnkojb9tcqykwd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(газета "Эркин-Тоо" от 5 июля 2022 года № 58) следующие изменения: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части 1 </w:t>
      </w:r>
      <w:hyperlink w:history="1" r:id="rIdzrtlltrzncaoj7i4mopci">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18 изложить в следующей редакции:</w:t>
      </w:r>
    </w:p>
    <w:p>
      <w:pPr>
        <w:spacing w:after="60"/>
        <w:ind w:firstLine="567"/>
        <w:jc w:val="both"/>
      </w:pPr>
      <w:r>
        <w:rPr>
          <w:rFonts w:ascii="Arial" w:cs="Arial" w:eastAsia="Arial" w:hAnsi="Arial"/>
          <w:sz w:val="24"/>
          <w:szCs w:val="24"/>
        </w:rPr>
        <w:t xml:space="preserve">"18) льготный период - установленный законом срок действия предельного тарифа для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б) пункт 26 признать утратившим силу;</w:t>
      </w:r>
    </w:p>
    <w:p>
      <w:pPr>
        <w:spacing w:after="60"/>
        <w:ind w:firstLine="567"/>
        <w:jc w:val="both"/>
      </w:pPr>
      <w:r>
        <w:rPr>
          <w:rFonts w:ascii="Arial" w:cs="Arial" w:eastAsia="Arial" w:hAnsi="Arial"/>
          <w:sz w:val="24"/>
          <w:szCs w:val="24"/>
        </w:rPr>
        <w:t xml:space="preserve">в) дополнить пунктами 29-32 следующего содержания:</w:t>
      </w:r>
    </w:p>
    <w:p>
      <w:pPr>
        <w:spacing w:after="60"/>
        <w:ind w:firstLine="567"/>
        <w:jc w:val="both"/>
      </w:pPr>
      <w:r>
        <w:rPr>
          <w:rFonts w:ascii="Arial" w:cs="Arial" w:eastAsia="Arial" w:hAnsi="Arial"/>
          <w:sz w:val="24"/>
          <w:szCs w:val="24"/>
        </w:rPr>
        <w:t xml:space="preserve">"29) аукцион - процесс, в рамках которого определяется тариф путем понижения предельного тарифа для реализации проектов с использованием ВИЭ;</w:t>
      </w:r>
    </w:p>
    <w:p>
      <w:pPr>
        <w:spacing w:after="60"/>
        <w:ind w:firstLine="567"/>
        <w:jc w:val="both"/>
      </w:pPr>
      <w:r>
        <w:rPr>
          <w:rFonts w:ascii="Arial" w:cs="Arial" w:eastAsia="Arial" w:hAnsi="Arial"/>
          <w:sz w:val="24"/>
          <w:szCs w:val="24"/>
        </w:rPr>
        <w:t xml:space="preserve">30) конкурс - проводимая уполномоченным государственным учреждением конкурентная процедура отбора инвесторов для реализации проектов с использованием ВИЭ, осуществляемая на основе оценки критериев и требований, направленная на определение участника, предложившего наиболее выгодные экономические, финансовые и иные условия реализации проекта по строительству и эксплуатации объектов ВИЭ;</w:t>
      </w:r>
    </w:p>
    <w:p>
      <w:pPr>
        <w:spacing w:after="60"/>
        <w:ind w:firstLine="567"/>
        <w:jc w:val="both"/>
      </w:pPr>
      <w:r>
        <w:rPr>
          <w:rFonts w:ascii="Arial" w:cs="Arial" w:eastAsia="Arial" w:hAnsi="Arial"/>
          <w:sz w:val="24"/>
          <w:szCs w:val="24"/>
        </w:rPr>
        <w:t xml:space="preserve">31) накопитель электрической энергии - система, предназначенная для накопления, хранения и выдачи электрической энергии в сеть;</w:t>
      </w:r>
    </w:p>
    <w:p>
      <w:pPr>
        <w:spacing w:after="60"/>
        <w:ind w:firstLine="567"/>
        <w:jc w:val="both"/>
      </w:pPr>
      <w:r>
        <w:rPr>
          <w:rFonts w:ascii="Arial" w:cs="Arial" w:eastAsia="Arial" w:hAnsi="Arial"/>
          <w:sz w:val="24"/>
          <w:szCs w:val="24"/>
        </w:rPr>
        <w:t xml:space="preserve">32) уполномоченное государственное учреждение - учреждение, осуществляющее взаимодействие в рамках аккумулирования денежных средств для финансирования проектирования, содержания, субсидирования, ремонта, реконструкции, строительства и развития зеленой энергетики, а также стимулирования разработки, внедрения и производства энергосберегающих технологий и предоставления субъектам ВИЭ гарантии выкупа электрической энергии.";</w:t>
      </w:r>
    </w:p>
    <w:p>
      <w:pPr>
        <w:spacing w:after="60"/>
        <w:ind w:firstLine="567"/>
        <w:jc w:val="both"/>
      </w:pPr>
      <w:r>
        <w:rPr>
          <w:rFonts w:ascii="Arial" w:cs="Arial" w:eastAsia="Arial" w:hAnsi="Arial"/>
          <w:sz w:val="24"/>
          <w:szCs w:val="24"/>
        </w:rPr>
        <w:t xml:space="preserve">2) </w:t>
      </w:r>
      <w:hyperlink w:history="1" r:id="rIdv72a7cnxlb7jpwo095iru">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пунктом 16 следующего содержания:</w:t>
      </w:r>
    </w:p>
    <w:p>
      <w:pPr>
        <w:spacing w:after="60"/>
        <w:ind w:firstLine="567"/>
        <w:jc w:val="both"/>
      </w:pPr>
      <w:r>
        <w:rPr>
          <w:rFonts w:ascii="Arial" w:cs="Arial" w:eastAsia="Arial" w:hAnsi="Arial"/>
          <w:sz w:val="24"/>
          <w:szCs w:val="24"/>
        </w:rPr>
        <w:t xml:space="preserve">"16)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процентов от установленной мощности объекта.";</w:t>
      </w:r>
    </w:p>
    <w:p>
      <w:pPr>
        <w:spacing w:after="60"/>
        <w:ind w:firstLine="567"/>
        <w:jc w:val="both"/>
      </w:pPr>
      <w:r>
        <w:rPr>
          <w:rFonts w:ascii="Arial" w:cs="Arial" w:eastAsia="Arial" w:hAnsi="Arial"/>
          <w:sz w:val="24"/>
          <w:szCs w:val="24"/>
        </w:rPr>
        <w:t xml:space="preserve">3) в пункте 7 </w:t>
      </w:r>
      <w:hyperlink w:history="1" r:id="rIdhfsqks4x_ii-z_a--qfju">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"и на которую распространяется коэффициент 1,3" исключить;</w:t>
      </w:r>
    </w:p>
    <w:p>
      <w:pPr>
        <w:spacing w:after="60"/>
        <w:ind w:firstLine="567"/>
        <w:jc w:val="both"/>
      </w:pPr>
      <w:r>
        <w:rPr>
          <w:rFonts w:ascii="Arial" w:cs="Arial" w:eastAsia="Arial" w:hAnsi="Arial"/>
          <w:sz w:val="24"/>
          <w:szCs w:val="24"/>
        </w:rPr>
        <w:t xml:space="preserve">4) в части 1 </w:t>
      </w:r>
      <w:hyperlink w:history="1" r:id="rIdzufjlp7c-h93cgmtgk0o9">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w:t>
      </w:r>
    </w:p>
    <w:p>
      <w:pPr>
        <w:spacing w:after="60"/>
        <w:ind w:firstLine="567"/>
        <w:jc w:val="both"/>
      </w:pPr>
      <w:r>
        <w:rPr>
          <w:rFonts w:ascii="Arial" w:cs="Arial" w:eastAsia="Arial" w:hAnsi="Arial"/>
          <w:sz w:val="24"/>
          <w:szCs w:val="24"/>
        </w:rPr>
        <w:t xml:space="preserve">- на государственном языке слова "1. ЭКБ жаатында" заменить словами "ЭКБ жаатында";</w:t>
      </w:r>
    </w:p>
    <w:p>
      <w:pPr>
        <w:spacing w:after="60"/>
        <w:ind w:firstLine="567"/>
        <w:jc w:val="both"/>
      </w:pPr>
      <w:r>
        <w:rPr>
          <w:rFonts w:ascii="Arial" w:cs="Arial" w:eastAsia="Arial" w:hAnsi="Arial"/>
          <w:sz w:val="24"/>
          <w:szCs w:val="24"/>
        </w:rPr>
        <w:t xml:space="preserve">- на официальном языке слова "1. Государственное" заменить словом "Государственное";</w:t>
      </w:r>
    </w:p>
    <w:p>
      <w:pPr>
        <w:spacing w:after="60"/>
        <w:ind w:firstLine="567"/>
        <w:jc w:val="both"/>
      </w:pPr>
      <w:r>
        <w:rPr>
          <w:rFonts w:ascii="Arial" w:cs="Arial" w:eastAsia="Arial" w:hAnsi="Arial"/>
          <w:sz w:val="24"/>
          <w:szCs w:val="24"/>
        </w:rPr>
        <w:t xml:space="preserve">б) пункт 11 признать утратившим силу;</w:t>
      </w:r>
    </w:p>
    <w:p>
      <w:pPr>
        <w:spacing w:after="60"/>
        <w:ind w:firstLine="567"/>
        <w:jc w:val="both"/>
      </w:pPr>
      <w:r>
        <w:rPr>
          <w:rFonts w:ascii="Arial" w:cs="Arial" w:eastAsia="Arial" w:hAnsi="Arial"/>
          <w:sz w:val="24"/>
          <w:szCs w:val="24"/>
        </w:rPr>
        <w:t xml:space="preserve">5) </w:t>
      </w:r>
      <w:hyperlink w:history="1" r:id="rIdkkx1o8lxeyrvehlaytotc">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scupbnkfvgmg4y64dkjtu">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Компетенция уполномоченного государственного органа по развитию и поддержке использования ВИЭ</w:t>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1) реализует государственную политику в области поддержки использования ВИЭ;</w:t>
      </w:r>
    </w:p>
    <w:p>
      <w:pPr>
        <w:spacing w:after="60"/>
        <w:ind w:firstLine="567"/>
        <w:jc w:val="both"/>
      </w:pPr>
      <w:r>
        <w:rPr>
          <w:rFonts w:ascii="Arial" w:cs="Arial" w:eastAsia="Arial" w:hAnsi="Arial"/>
          <w:sz w:val="24"/>
          <w:szCs w:val="24"/>
        </w:rPr>
        <w:t xml:space="preserve">2) разрабатывает программы развития и использования ВИЭ;</w:t>
      </w:r>
    </w:p>
    <w:p>
      <w:pPr>
        <w:spacing w:after="60"/>
        <w:ind w:firstLine="567"/>
        <w:jc w:val="both"/>
      </w:pPr>
      <w:r>
        <w:rPr>
          <w:rFonts w:ascii="Arial" w:cs="Arial" w:eastAsia="Arial" w:hAnsi="Arial"/>
          <w:sz w:val="24"/>
          <w:szCs w:val="24"/>
        </w:rPr>
        <w:t xml:space="preserve">3) вправе заключать соглашение о намерении инвестировать в строительство объекта с использованием ВИЭ;</w:t>
      </w:r>
    </w:p>
    <w:p>
      <w:pPr>
        <w:spacing w:after="60"/>
        <w:ind w:firstLine="567"/>
        <w:jc w:val="both"/>
      </w:pPr>
      <w:r>
        <w:rPr>
          <w:rFonts w:ascii="Arial" w:cs="Arial" w:eastAsia="Arial" w:hAnsi="Arial"/>
          <w:sz w:val="24"/>
          <w:szCs w:val="24"/>
        </w:rPr>
        <w:t xml:space="preserve">4) вправе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с использованием ВИЭ;</w:t>
      </w:r>
    </w:p>
    <w:p>
      <w:pPr>
        <w:spacing w:after="60"/>
        <w:ind w:firstLine="567"/>
        <w:jc w:val="both"/>
      </w:pPr>
      <w:r>
        <w:rPr>
          <w:rFonts w:ascii="Arial" w:cs="Arial" w:eastAsia="Arial" w:hAnsi="Arial"/>
          <w:sz w:val="24"/>
          <w:szCs w:val="24"/>
        </w:rPr>
        <w:t xml:space="preserve">6)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с использованием ВИЭ;</w:t>
      </w:r>
    </w:p>
    <w:p>
      <w:pPr>
        <w:spacing w:after="60"/>
        <w:ind w:firstLine="567"/>
        <w:jc w:val="both"/>
      </w:pPr>
      <w:r>
        <w:rPr>
          <w:rFonts w:ascii="Arial" w:cs="Arial" w:eastAsia="Arial" w:hAnsi="Arial"/>
          <w:sz w:val="24"/>
          <w:szCs w:val="24"/>
        </w:rPr>
        <w:t xml:space="preserve">7)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в области энергетики;</w:t>
      </w:r>
    </w:p>
    <w:p>
      <w:pPr>
        <w:spacing w:after="60"/>
        <w:ind w:firstLine="567"/>
        <w:jc w:val="both"/>
      </w:pPr>
      <w:r>
        <w:rPr>
          <w:rFonts w:ascii="Arial" w:cs="Arial" w:eastAsia="Arial" w:hAnsi="Arial"/>
          <w:sz w:val="24"/>
          <w:szCs w:val="24"/>
        </w:rPr>
        <w:t xml:space="preserve">8) осуществляет мониторинг использования ВИЭ в порядке, установленном Кабинетом Министров Кыргызской Республики,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 определения соответствия объемов производства электрической энергии с использованием ВИЭ целевым показателям;</w:t>
      </w:r>
    </w:p>
    <w:p>
      <w:pPr>
        <w:spacing w:after="60"/>
        <w:ind w:firstLine="567"/>
        <w:jc w:val="both"/>
      </w:pPr>
      <w:r>
        <w:rPr>
          <w:rFonts w:ascii="Arial" w:cs="Arial" w:eastAsia="Arial" w:hAnsi="Arial"/>
          <w:sz w:val="24"/>
          <w:szCs w:val="24"/>
        </w:rPr>
        <w:t xml:space="preserve">9)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10) вправе выступить подписантом договора поставки электрической энергии совместно с уполномоченным учреждением, определяемым Кабинетом Министров Кыргызской Республики, и энергетической компанией;</w:t>
      </w:r>
    </w:p>
    <w:p>
      <w:pPr>
        <w:spacing w:after="60"/>
        <w:ind w:firstLine="567"/>
        <w:jc w:val="both"/>
      </w:pPr>
      <w:r>
        <w:rPr>
          <w:rFonts w:ascii="Arial" w:cs="Arial" w:eastAsia="Arial" w:hAnsi="Arial"/>
          <w:sz w:val="24"/>
          <w:szCs w:val="24"/>
        </w:rPr>
        <w:t xml:space="preserve">11) осуществляет иные функции в соответствии с настоящим Законом.";</w:t>
      </w:r>
    </w:p>
    <w:p>
      <w:pPr>
        <w:spacing w:after="60"/>
        <w:ind w:firstLine="567"/>
        <w:jc w:val="both"/>
      </w:pPr>
      <w:r>
        <w:rPr>
          <w:rFonts w:ascii="Arial" w:cs="Arial" w:eastAsia="Arial" w:hAnsi="Arial"/>
          <w:sz w:val="24"/>
          <w:szCs w:val="24"/>
        </w:rPr>
        <w:t xml:space="preserve">6) </w:t>
      </w:r>
      <w:hyperlink w:history="1" r:id="rIdwyw2uqiu4jncjjurxqden">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8_0lhykpaaqk9iirkciix">
        <w:r>
          <w:rPr>
            <w:rFonts w:ascii="Arial" w:cs="Arial" w:eastAsia="Arial" w:hAnsi="Arial"/>
            <w:color w:val="1D4ED8"/>
            <w:sz w:val="24"/>
            <w:szCs w:val="24"/>
            <w:u w:val="single"/>
          </w:rPr>
          <w:t xml:space="preserve">статьей 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8g9g7hplpnvnkjmumrmzr">
        <w:r>
          <w:rPr>
            <w:rFonts w:ascii="Arial" w:cs="Arial" w:eastAsia="Arial" w:hAnsi="Arial"/>
            <w:color w:val="1D4ED8"/>
            <w:sz w:val="24"/>
            <w:szCs w:val="24"/>
            <w:u w:val="single"/>
          </w:rPr>
          <w:t xml:space="preserve">Статья 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Компетенция уполномоченного государственного учреждения</w:t>
      </w:r>
    </w:p>
    <w:p>
      <w:pPr>
        <w:spacing w:after="60"/>
        <w:ind w:firstLine="567"/>
        <w:jc w:val="both"/>
      </w:pPr>
      <w:r>
        <w:rPr>
          <w:rFonts w:ascii="Arial" w:cs="Arial" w:eastAsia="Arial" w:hAnsi="Arial"/>
          <w:sz w:val="24"/>
          <w:szCs w:val="24"/>
        </w:rPr>
        <w:t xml:space="preserve">Уполномоченное государственное учреждение:</w:t>
      </w:r>
    </w:p>
    <w:p>
      <w:pPr>
        <w:spacing w:after="60"/>
        <w:ind w:firstLine="567"/>
        <w:jc w:val="both"/>
      </w:pPr>
      <w:r>
        <w:rPr>
          <w:rFonts w:ascii="Arial" w:cs="Arial" w:eastAsia="Arial" w:hAnsi="Arial"/>
          <w:sz w:val="24"/>
          <w:szCs w:val="24"/>
        </w:rPr>
        <w:t xml:space="preserve">1) принимает участие в разработке программы развития и использования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4) вправе объявлять аукцион и конкурсный отбор на строительство энергетических установок с использованием ВИЭ (в том числе на понижение тарифа);</w:t>
      </w:r>
    </w:p>
    <w:p>
      <w:pPr>
        <w:spacing w:after="60"/>
        <w:ind w:firstLine="567"/>
        <w:jc w:val="both"/>
      </w:pPr>
      <w:r>
        <w:rPr>
          <w:rFonts w:ascii="Arial" w:cs="Arial" w:eastAsia="Arial" w:hAnsi="Arial"/>
          <w:sz w:val="24"/>
          <w:szCs w:val="24"/>
        </w:rPr>
        <w:t xml:space="preserve">5)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с использованием ВИЭ;</w:t>
      </w:r>
    </w:p>
    <w:p>
      <w:pPr>
        <w:spacing w:after="60"/>
        <w:ind w:firstLine="567"/>
        <w:jc w:val="both"/>
      </w:pPr>
      <w:r>
        <w:rPr>
          <w:rFonts w:ascii="Arial" w:cs="Arial" w:eastAsia="Arial" w:hAnsi="Arial"/>
          <w:sz w:val="24"/>
          <w:szCs w:val="24"/>
        </w:rPr>
        <w:t xml:space="preserve">6) вправе инициировать процедуру прекращения (аннулирования) права пользования земельным участком в случае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с использованием ВИЭ, в течение 2 лет;</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8) осуществляет иные функции в соответствии с настоящим Законом.";</w:t>
      </w:r>
    </w:p>
    <w:p>
      <w:pPr>
        <w:spacing w:after="60"/>
        <w:ind w:firstLine="567"/>
        <w:jc w:val="both"/>
      </w:pPr>
      <w:r>
        <w:rPr>
          <w:rFonts w:ascii="Arial" w:cs="Arial" w:eastAsia="Arial" w:hAnsi="Arial"/>
          <w:sz w:val="24"/>
          <w:szCs w:val="24"/>
        </w:rPr>
        <w:t xml:space="preserve">7) в </w:t>
      </w:r>
      <w:hyperlink w:history="1" r:id="rIdrxjky-vm43fi1mvrvtoas">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7 изложить в следующей редакции:</w:t>
      </w:r>
    </w:p>
    <w:p>
      <w:pPr>
        <w:spacing w:after="60"/>
        <w:ind w:firstLine="567"/>
        <w:jc w:val="both"/>
      </w:pPr>
      <w:r>
        <w:rPr>
          <w:rFonts w:ascii="Arial" w:cs="Arial" w:eastAsia="Arial" w:hAnsi="Arial"/>
          <w:sz w:val="24"/>
          <w:szCs w:val="24"/>
        </w:rPr>
        <w:t xml:space="preserve">"7) в течение срока действия льготного периода предельный уровень тарифа на электрическую энергию, вырабатываемую установками с использованием ВИЭ, устанавливается в соответствии с тарифной политикой на электрическую энергию, определяемой Кабинетом Министров Кыргызской Республики.</w:t>
      </w:r>
    </w:p>
    <w:p>
      <w:pPr>
        <w:spacing w:after="60"/>
        <w:ind w:firstLine="567"/>
        <w:jc w:val="both"/>
      </w:pPr>
      <w:r>
        <w:rPr>
          <w:rFonts w:ascii="Arial" w:cs="Arial" w:eastAsia="Arial" w:hAnsi="Arial"/>
          <w:sz w:val="24"/>
          <w:szCs w:val="24"/>
        </w:rPr>
        <w:t xml:space="preserve">В рамках инвестиционного соглашения и (или) соглашения о государственно-частном партнерстве в течение срока действия льготного периода предельный тариф может устанавливаться в иностранной валюте;";</w:t>
      </w:r>
    </w:p>
    <w:p>
      <w:pPr>
        <w:spacing w:after="60"/>
        <w:ind w:firstLine="567"/>
        <w:jc w:val="both"/>
      </w:pPr>
      <w:r>
        <w:rPr>
          <w:rFonts w:ascii="Arial" w:cs="Arial" w:eastAsia="Arial" w:hAnsi="Arial"/>
          <w:sz w:val="24"/>
          <w:szCs w:val="24"/>
        </w:rPr>
        <w:t xml:space="preserve">б) дополнить пунктами 10</w:t>
      </w:r>
      <w:r>
        <w:rPr>
          <w:rFonts w:ascii="Arial" w:cs="Arial" w:eastAsia="Arial" w:hAnsi="Arial"/>
          <w:sz w:val="24"/>
          <w:szCs w:val="24"/>
        </w:rPr>
        <w:t xml:space="preserve">1</w:t>
      </w:r>
      <w:r>
        <w:rPr>
          <w:rFonts w:ascii="Arial" w:cs="Arial" w:eastAsia="Arial" w:hAnsi="Arial"/>
          <w:sz w:val="24"/>
          <w:szCs w:val="24"/>
        </w:rPr>
        <w:t xml:space="preserve"> и 10</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для субъектов ВИЭ в течение срока действия льготного периода тариф на электрическую энергию устанавливается на уровне средневыставленного тарифа для конечных потребителей за предыдущий год, но не превышающий предельного уровня тарифа, за исключением тарифа, определяемого пунктом 7 настоящей статьи, и тарифов, определяемых по итогам аукциона или конкурса. Порядок проведения аукциона или конкурса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тариф на электрическую энергию, вырабатываемую субъектами микрогенерации, устанавливается на уровне средневыставленного тарифа для населения за предыдущий год;";</w:t>
      </w:r>
    </w:p>
    <w:p>
      <w:pPr>
        <w:spacing w:after="60"/>
        <w:ind w:firstLine="567"/>
        <w:jc w:val="both"/>
      </w:pPr>
      <w:r>
        <w:rPr>
          <w:rFonts w:ascii="Arial" w:cs="Arial" w:eastAsia="Arial" w:hAnsi="Arial"/>
          <w:sz w:val="24"/>
          <w:szCs w:val="24"/>
        </w:rPr>
        <w:t xml:space="preserve">в) пункт 16 изложить в следующей редакции:</w:t>
      </w:r>
    </w:p>
    <w:p>
      <w:pPr>
        <w:spacing w:after="60"/>
        <w:ind w:firstLine="567"/>
        <w:jc w:val="both"/>
      </w:pPr>
      <w:r>
        <w:rPr>
          <w:rFonts w:ascii="Arial" w:cs="Arial" w:eastAsia="Arial" w:hAnsi="Arial"/>
          <w:sz w:val="24"/>
          <w:szCs w:val="24"/>
        </w:rPr>
        <w:t xml:space="preserve">"16) национальные электрические сети и распределяющие предприятия при наличии технической возможности обеспечивают беспрепятственную передачу электрической энергии, вырабатываемой с использованием ВИЭ, от производителей до потребителей;";</w:t>
      </w:r>
    </w:p>
    <w:p>
      <w:pPr>
        <w:spacing w:after="60"/>
        <w:ind w:firstLine="567"/>
        <w:jc w:val="both"/>
      </w:pPr>
      <w:r>
        <w:rPr>
          <w:rFonts w:ascii="Arial" w:cs="Arial" w:eastAsia="Arial" w:hAnsi="Arial"/>
          <w:sz w:val="24"/>
          <w:szCs w:val="24"/>
        </w:rPr>
        <w:t xml:space="preserve">г) пункт 18 изложить в следующей редакции:</w:t>
      </w:r>
    </w:p>
    <w:p>
      <w:pPr>
        <w:spacing w:after="60"/>
        <w:ind w:firstLine="567"/>
        <w:jc w:val="both"/>
      </w:pPr>
      <w:r>
        <w:rPr>
          <w:rFonts w:ascii="Arial" w:cs="Arial" w:eastAsia="Arial" w:hAnsi="Arial"/>
          <w:sz w:val="24"/>
          <w:szCs w:val="24"/>
        </w:rPr>
        <w:t xml:space="preserve">"18) по окончании срока действия льготного периода, установленного для субъектов ВИЭ, тариф на электроэнергию устанавливается уполномоченным государственным органом по регулированию топливно-энергетического комплекса индивидуально в соответствии с установленным порядком определения тарифа на электрическую энергию для ВИЭ, утвержденным Кабинетом Министров Кыргызской Республики или уполномоченным государственным органом в рамках делегирования полномочий;";</w:t>
      </w:r>
    </w:p>
    <w:p>
      <w:pPr>
        <w:spacing w:after="60"/>
        <w:ind w:firstLine="567"/>
        <w:jc w:val="both"/>
      </w:pPr>
      <w:r>
        <w:rPr>
          <w:rFonts w:ascii="Arial" w:cs="Arial" w:eastAsia="Arial" w:hAnsi="Arial"/>
          <w:sz w:val="24"/>
          <w:szCs w:val="24"/>
        </w:rPr>
        <w:t xml:space="preserve">д) пункт 19 признать утратившим силу;</w:t>
      </w:r>
    </w:p>
    <w:p>
      <w:pPr>
        <w:spacing w:after="60"/>
        <w:ind w:firstLine="567"/>
        <w:jc w:val="both"/>
      </w:pPr>
      <w:r>
        <w:rPr>
          <w:rFonts w:ascii="Arial" w:cs="Arial" w:eastAsia="Arial" w:hAnsi="Arial"/>
          <w:sz w:val="24"/>
          <w:szCs w:val="24"/>
        </w:rPr>
        <w:t xml:space="preserve">е) пункты 20 и 21 изложить в следующей редакции:</w:t>
      </w:r>
    </w:p>
    <w:p>
      <w:pPr>
        <w:spacing w:after="60"/>
        <w:ind w:firstLine="567"/>
        <w:jc w:val="both"/>
      </w:pPr>
      <w:r>
        <w:rPr>
          <w:rFonts w:ascii="Arial" w:cs="Arial" w:eastAsia="Arial" w:hAnsi="Arial"/>
          <w:sz w:val="24"/>
          <w:szCs w:val="24"/>
        </w:rPr>
        <w:t xml:space="preserve">"20)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 более одного месяца, за исключением случаев, указанных в пункте 16 </w:t>
      </w:r>
      <w:hyperlink w:history="1" r:id="rId8wbrm5zvvwbuibhktx2z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21) субъект ВИЭ перечисляет 1 процент от выручки, полученной от продажи электроэнергии, в бюджет органа местного самоуправления, на территории которого находится объект ВИЭ.".</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7 апреля 2026 года № 26 (3786)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pcai18ozgllq7y2qov-z7">
        <w:r>
          <w:rPr>
            <w:rFonts w:ascii="Arial" w:cs="Arial" w:eastAsia="Arial" w:hAnsi="Arial"/>
            <w:b/>
            <w:bCs/>
            <w:color w:val="1D4ED8"/>
            <w:sz w:val="24"/>
            <w:szCs w:val="24"/>
            <w:u w:val="single"/>
          </w:rPr>
          <w:t xml:space="preserve">11 марта 2026 года</w:t>
        </w:r>
      </w:hyperlink>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3htvlvl47givqdbbvf9">
      <w:r>
        <w:rPr>
          <w:rFonts w:ascii="Arial" w:cs="Arial" w:eastAsia="Arial" w:hAnsi="Arial"/>
          <w:color w:val="132D3F"/>
          <w:sz w:val="16"/>
          <w:szCs w:val="16"/>
          <w:u w:val="single"/>
        </w:rPr>
        <w:t xml:space="preserve">dalil.kg/document/230044115</w:t>
      </w:r>
    </w:hyperlink>
  </w:p>
  <w:p>
    <w:pPr>
      <w:spacing w:after="0" w:before="40"/>
      <w:jc w:val="center"/>
    </w:pPr>
    <w:hyperlink w:history="1" r:id="rIdl0megjczft7y6gs_449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cavxnkojb9tcqykwdih" Type="http://schemas.openxmlformats.org/officeDocument/2006/relationships/hyperlink" Target="https://dalil.kg/document/112382" TargetMode="External"/><Relationship Id="rIdzrtlltrzncaoj7i4mopci" Type="http://schemas.openxmlformats.org/officeDocument/2006/relationships/hyperlink" Target="https://dalil.kg/document/112382#st_3" TargetMode="External"/><Relationship Id="rIdv72a7cnxlb7jpwo095iru" Type="http://schemas.openxmlformats.org/officeDocument/2006/relationships/hyperlink" Target="https://dalil.kg/document/112382#st_6" TargetMode="External"/><Relationship Id="rIdhfsqks4x_ii-z_a--qfju" Type="http://schemas.openxmlformats.org/officeDocument/2006/relationships/hyperlink" Target="https://dalil.kg/document/112382#st_7" TargetMode="External"/><Relationship Id="rIdzufjlp7c-h93cgmtgk0o9" Type="http://schemas.openxmlformats.org/officeDocument/2006/relationships/hyperlink" Target="https://dalil.kg/document/112382#st_8" TargetMode="External"/><Relationship Id="rIdkkx1o8lxeyrvehlaytotc" Type="http://schemas.openxmlformats.org/officeDocument/2006/relationships/hyperlink" Target="https://dalil.kg/document/112382#st_9" TargetMode="External"/><Relationship Id="rIdscupbnkfvgmg4y64dkjtu" Type="http://schemas.openxmlformats.org/officeDocument/2006/relationships/hyperlink" Target="https://dalil.kg/document/112382#st_9" TargetMode="External"/><Relationship Id="rIdwyw2uqiu4jncjjurxqden" Type="http://schemas.openxmlformats.org/officeDocument/2006/relationships/hyperlink" Target="https://dalil.kg/document/112382#g2" TargetMode="External"/><Relationship Id="rId8_0lhykpaaqk9iirkciix" Type="http://schemas.openxmlformats.org/officeDocument/2006/relationships/hyperlink" Target="https://dalil.kg/document/112382#st_9_1" TargetMode="External"/><Relationship Id="rId8g9g7hplpnvnkjmumrmzr" Type="http://schemas.openxmlformats.org/officeDocument/2006/relationships/hyperlink" Target="https://dalil.kg/document/112382#st_9_1" TargetMode="External"/><Relationship Id="rIdrxjky-vm43fi1mvrvtoas" Type="http://schemas.openxmlformats.org/officeDocument/2006/relationships/hyperlink" Target="https://dalil.kg/document/112382#st_12" TargetMode="External"/><Relationship Id="rId8wbrm5zvvwbuibhktx2zk" Type="http://schemas.openxmlformats.org/officeDocument/2006/relationships/hyperlink" Target="https://dalil.kg/document/112382#st_6" TargetMode="External"/><Relationship Id="rIdpcai18ozgllq7y2qov-z7" Type="http://schemas.openxmlformats.org/officeDocument/2006/relationships/hyperlink" Target="https://dalil.kg/document/23004344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3htvlvl47givqdbbvf9" Type="http://schemas.openxmlformats.org/officeDocument/2006/relationships/hyperlink" Target="https://dalil.kg/document/230044115" TargetMode="External"/><Relationship Id="rIdl0megjczft7y6gs_449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2026-09-24T06:27:15.196Z</dcterms:created>
  <dcterms:modified xsi:type="dcterms:W3CDTF">2026-09-24T06:27:15.196Z</dcterms:modified>
</cp:coreProperties>
</file>

<file path=docProps/custom.xml><?xml version="1.0" encoding="utf-8"?>
<Properties xmlns="http://schemas.openxmlformats.org/officeDocument/2006/custom-properties" xmlns:vt="http://schemas.openxmlformats.org/officeDocument/2006/docPropsVTypes"/>
</file>