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оплаты деятельности Независимой комиссии по рассмотрению административных жалоб и обращений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6t87i1ycp818ozveaz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оплаты деятельности Независимой комиссии по рассмотрению административных жалоб и обращений</w:t>
      </w:r>
      <w:r>
        <w:rPr>
          <w:rFonts w:ascii="Arial" w:cs="Arial" w:eastAsia="Arial" w:hAnsi="Arial"/>
          <w:sz w:val="24"/>
          <w:szCs w:val="24"/>
        </w:rPr>
        <w:t xml:space="preserve"> в сфере государственных закупок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 разработке проекта Закона Кыргызской Республики 
 «О республиканском бюджете Кыргызской Республики на 2027 год и плановый период 2028–2029 годов» предусмотреть средства,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4wjolxl0r5ncgmycb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dalil.kg/document/230044236</w:t>
      </w:r>
    </w:hyperlink>
  </w:p>
  <w:p>
    <w:pPr>
      <w:spacing w:after="0" w:before="40"/>
      <w:jc w:val="center"/>
    </w:pPr>
    <w:hyperlink w:history="1" r:id="rIdm18vk3zqhafgdpajxnd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87i1ycp818ozveazsjh" Type="http://schemas.openxmlformats.org/officeDocument/2006/relationships/hyperlink" Target="https://dalil.kg/document/230044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4wjolxl0r5ncgmycb76" Type="http://schemas.openxmlformats.org/officeDocument/2006/relationships/hyperlink" Target="https://dalil.kg/document/230044236" TargetMode="External"/><Relationship Id="rIdm18vk3zqhafgdpajxnd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2026-09-26T12:16:00.003Z</dcterms:created>
  <dcterms:modified xsi:type="dcterms:W3CDTF">2026-09-26T12:16:00.003Z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