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персонифицированном (индивидуальном) учете граждан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для целей обязательного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0fen6xrg2p18upawq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 (Ведомости Жогорку Кенеша Кыргызской Республики, 1999 г., № 4, ст.194)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-</w:t>
      </w:r>
      <w:r>
        <w:rPr>
          <w:rFonts w:ascii="Arial" w:cs="Arial" w:eastAsia="Arial" w:hAnsi="Arial"/>
          <w:sz w:val="24"/>
          <w:szCs w:val="24"/>
        </w:rPr>
        <w:t xml:space="preserve"> индивидуальный номер, присваиваемый уполномоченным государственным органом, определяемым Кабинетом Министров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порядком, определяемым Кабинетом Министров Кыргызской Республики, а также законодательством о защите прав свидетелей, потерпевших и иных участников уголовного судопроизводства.»;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Присвоение и изменение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апреля 2026 года № 27 (3787)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qn7jr1krnchjvd3dd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dalil.kg/document/230044277</w:t>
      </w:r>
    </w:hyperlink>
  </w:p>
  <w:p>
    <w:pPr>
      <w:spacing w:after="0" w:before="40"/>
      <w:jc w:val="center"/>
    </w:pPr>
    <w:hyperlink w:history="1" r:id="rIday-2vnc-opggw-lwnn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fen6xrg2p18upawqygd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qn7jr1krnchjvd3ddr3" Type="http://schemas.openxmlformats.org/officeDocument/2006/relationships/hyperlink" Target="https://dalil.kg/document/230044277" TargetMode="External"/><Relationship Id="rIday-2vnc-opggw-lwnna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2026-09-24T21:15:30.586Z</dcterms:created>
  <dcterms:modified xsi:type="dcterms:W3CDTF">2026-09-24T21:15:30.586Z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