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2026 года № 139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замещения административных государственных и муниципальных должностей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регламентации вопросов замещения административных государственных и муниципальных должностей, в соответствии со статьями </w:t>
      </w:r>
      <w:hyperlink w:history="1" r:id="rId_-kg0xl_1scidcx5ysf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1znu7vihtfjlcg1u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hyperlink w:history="1" r:id="rIdf-0ggbvl-k7__ht76r_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fcu6m0h1xu2atfc9em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категорией административной государственной и административной муниципальной должности является классификационная характеристика совокупности административных должностей, занимаемых государственными гражданскими служащими и муниципальными служащими, отражающая объем и характер должностных полномочий. Высшая, главная, старшая, младшая группы административных должностей подразделяются на категории В-А, В-Б, Г-А, Г-Б, С-А, С-Б, М-А, М-Б;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связанные с реализацией настоящего Указа, осуществляются в пределах средств, предусмотренных для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в особом (внеконкурсном) порядке на отдельные административные государственные и муниципальные должности осуществляется при условии соответствия назначаемого лица квалификационным и иным требованиям, установленным законодательством в сфере государственной гражданской службы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замещение вакантных административных государственных должностей в центральных аппаратах министерств в особом (внеконкурсном) порядке в количестве, не превышающем десяти процентов от установленной штатной численности центрального аппарата министерства, осуществляется в целях обеспечения выработки и эффективной реализации реформ в соответствующей сфере деятельности министерства.";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95xpuv9jezddwho-g3s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 </w:t>
      </w:r>
      <w:hyperlink w:history="1" r:id="rId0zvpee7rxt6kzf1rxoh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после слов "постоянный представитель Жогорку Кенеша в Конституционном суде" дополнить словами ", пресс-секретарь Торага Жогорку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после слов "консультант Аппарата Жогорку Кенеша" дополнить словами ", спичрайтер Торага Жогорку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 </w:t>
      </w:r>
      <w:hyperlink w:history="1" r:id="rId52cdjxlgeynvdhxx2n5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Аппарат Жогорку Кенеша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15"/>
        <w:gridCol w:w="8863"/>
      </w:tblGrid>
      <w:tr>
        <w:tc>
          <w:tcPr>
            <w:tcW w:type="dxa" w:w="13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8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 Жогорку Кенеша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1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секретариатом фракции (депутатской группы)(*)</w:t>
            </w:r>
          </w:p>
        </w:tc>
      </w:tr>
      <w:tr>
        <w:tc>
          <w:tcPr>
            <w:tcW w:type="dxa" w:w="1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секретариата фракции (депутатской группы)(*)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13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8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консультант секретариата фракции (депутатской группы)(*)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секретариата фракции (депутатской группы)(*)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специалист(*)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"Главная должность" пункта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графы "Территориальные органы министерств, государственных комитетов" категории "Г-А" обозначение "(*****)"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графы "Министерства, государственные комитеты" категории "Г-Б"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министра по особым поручениям(****)";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графы "Местные государственные администрации" категории "С-А" группы "Старшая должность" пункта 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графы "Правоохранительные органы" категории "С-А" группы "Старшая должность" пункта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по вопросам предупреждения коррупции(*****)";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к главам 1-4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 к главам 1-4: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Наименования "руководитель", "заместитель руководителя" являются унифицированными названиями руководящей должности соответствующего государственного органа. Данное правило также распространяется на соответствующие подразделения (структурные, территориальные и т.д.) самого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заместителя руководителя государственного органа/подразделения государственного органа включает должность первого заместителя руководителя государственного органа/подразделения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должностью заведующего также понимается должность начальника, под должностью руководителя - должность директора/заведующего/начальника.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административные государственные должности, назначение на которые осуществляется в особом (внеконкурсном)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центральных аппаратах министерств допускается замещение вакантных должностей государственной гражданской службы в особом (внеконкурсном) порядке в количестве, не превышающем десяти процентов от установленной штатной численности центрального аппарата министерства. Перечень административных государственных должностей, назначение на которые осуществляется в особом (внеконкурсном) порядке, утверждается соответствующим министром не чаще одного раза в год по согласованию с уполномоченным государственным органом по делам государственной гражданской службы и муниципальной службы с учетом должностей, назначение на которые в особом "внеконкурсном" порядке предусмотрено пунктом 6 главы 4 раздела II настоящего Реестра;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Государственном агентстве гражданской авиации при Кабинете Министров Кыргызской Республики назначение в особом (внеконкурсном) порядке осуществляется на все вакантные административные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административная государственная должность может быть предусмотрена в подведомственных подразделениях государственных органов по согласованию со структурным подразделением Администрации Президента Кыргызской Республики, ведающим вопросами информационной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административная государственная должность вводится в аппарате полномочного представителя Президента Кыргызской Республики в Нарынской области Кыргызской Республики на пилотной основе на период до принятия Кабинетом Министров Кыргызской Республики соответствующего решения об утверждении структуры и штатного расписания аппаратов полномочных представителей Президента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- административная государственная должность в центральных аппаратах Министерства юстиции Кыргызской Республики и Министерства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(*****)</w:t>
      </w:r>
      <w:r>
        <w:rPr>
          <w:rFonts w:ascii="Arial" w:cs="Arial" w:eastAsia="Arial" w:hAnsi="Arial"/>
          <w:sz w:val="24"/>
          <w:szCs w:val="24"/>
        </w:rPr>
        <w:t xml:space="preserve"> -</w:t>
      </w:r>
      <w:r>
        <w:rPr>
          <w:rFonts w:ascii="Arial" w:cs="Arial" w:eastAsia="Arial" w:hAnsi="Arial"/>
          <w:sz w:val="24"/>
          <w:szCs w:val="24"/>
        </w:rPr>
        <w:t xml:space="preserve"> административная государственная должность в Генеральной прокуратуре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ant6pclz8upvqk7cvd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Правил поступления в особом (внеконкурсном) порядке на административные государственные гражданские должности Государственного агентства гражданской авиации при Кабинете Министров Кыргызской Республики" от 30 января 2023 года №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апреля 2026 года № 27 (3787)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1ea4cpl5puvbz8vagg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dalil.kg/document/230044329</w:t>
      </w:r>
    </w:hyperlink>
  </w:p>
  <w:p>
    <w:pPr>
      <w:spacing w:after="0" w:before="40"/>
      <w:jc w:val="center"/>
    </w:pPr>
    <w:hyperlink w:history="1" r:id="rIdlwbbxtf_g7_qmqj_psq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kg0xl_1scidcx5ysfi5" Type="http://schemas.openxmlformats.org/officeDocument/2006/relationships/hyperlink" Target="https://dalil.kg/document/112303#st_5" TargetMode="External"/><Relationship Id="rIdih1znu7vihtfjlcg1utgr" Type="http://schemas.openxmlformats.org/officeDocument/2006/relationships/hyperlink" Target="https://dalil.kg/document/112303#st_17" TargetMode="External"/><Relationship Id="rIdf-0ggbvl-k7__ht76r_2y" Type="http://schemas.openxmlformats.org/officeDocument/2006/relationships/hyperlink" Target="https://dalil.kg/document/112213#st_71" TargetMode="External"/><Relationship Id="rIdvfcu6m0h1xu2atfc9emc9" Type="http://schemas.openxmlformats.org/officeDocument/2006/relationships/hyperlink" Target="https://dalil.kg/document/69262" TargetMode="External"/><Relationship Id="rId95xpuv9jezddwho-g3sbc" Type="http://schemas.openxmlformats.org/officeDocument/2006/relationships/hyperlink" Target="https://dalil.kg/document/69262#pr" TargetMode="External"/><Relationship Id="rId0zvpee7rxt6kzf1rxohnc" Type="http://schemas.openxmlformats.org/officeDocument/2006/relationships/hyperlink" Target="https://dalil.kg/document/69262#pr_r1" TargetMode="External"/><Relationship Id="rId52cdjxlgeynvdhxx2n5az" Type="http://schemas.openxmlformats.org/officeDocument/2006/relationships/hyperlink" Target="https://dalil.kg/document/69262#pr_r2" TargetMode="External"/><Relationship Id="rIdyant6pclz8upvqk7cvdgc" Type="http://schemas.openxmlformats.org/officeDocument/2006/relationships/hyperlink" Target="https://dalil.kg/document/43488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1ea4cpl5puvbz8vaggak" Type="http://schemas.openxmlformats.org/officeDocument/2006/relationships/hyperlink" Target="https://dalil.kg/document/230044329" TargetMode="External"/><Relationship Id="rIdlwbbxtf_g7_qmqj_psq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2026-09-24T10:15:15.533Z</dcterms:created>
  <dcterms:modified xsi:type="dcterms:W3CDTF">2026-09-24T10:15:15.533Z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