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149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</w:t>
      </w:r>
      <w:r>
        <w:rPr>
          <w:rFonts w:ascii="Arial" w:cs="Arial" w:eastAsia="Arial" w:hAnsi="Arial"/>
          <w:sz w:val="24"/>
          <w:szCs w:val="24"/>
        </w:rPr>
        <w:t xml:space="preserve">деятельности</w:t>
      </w:r>
      <w:r>
        <w:rPr>
          <w:rFonts w:ascii="Arial" w:cs="Arial" w:eastAsia="Arial" w:hAnsi="Arial"/>
          <w:sz w:val="24"/>
          <w:szCs w:val="24"/>
        </w:rPr>
        <w:t xml:space="preserve"> Кыргызского центра аккредитации при Министерстве экономики и коммерции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</w:t>
      </w:r>
      <w:hyperlink w:history="1" r:id="rId8zpx_dv-idbg035amnw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Кабинету Министров Кыргызской Республики увеличить предельную штатную численность </w:t>
      </w:r>
      <w:r>
        <w:rPr>
          <w:rFonts w:ascii="Arial" w:cs="Arial" w:eastAsia="Arial" w:hAnsi="Arial"/>
          <w:sz w:val="24"/>
          <w:szCs w:val="24"/>
        </w:rPr>
        <w:t xml:space="preserve">Кыргызского центра аккредитации при Министерстве экономики и коммерции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на 14 штатных единиц.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lwch4_-bewk_51jou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dalil.kg/document/230044412</w:t>
      </w:r>
    </w:hyperlink>
  </w:p>
  <w:p>
    <w:pPr>
      <w:spacing w:after="0" w:before="40"/>
      <w:jc w:val="center"/>
    </w:pPr>
    <w:hyperlink w:history="1" r:id="rIdujszwqxwqbk6g1liqmu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px_dv-idbg035amnwmn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lwch4_-bewk_51jouyf" Type="http://schemas.openxmlformats.org/officeDocument/2006/relationships/hyperlink" Target="https://dalil.kg/document/230044412" TargetMode="External"/><Relationship Id="rIdujszwqxwqbk6g1liqmu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2026-09-24T10:03:27.309Z</dcterms:created>
  <dcterms:modified xsi:type="dcterms:W3CDTF">2026-09-24T10:03:27.309Z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