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определения тарифов на услуги централизованного питьевого водоснабжения и водоотведения» от 19 июня 2024 года № 320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тарифного регулирования услуг централизованного питьевого водоснабжения и водоотведения, в соответствии со </w:t>
      </w:r>
      <w:hyperlink w:history="1" r:id="rIdrv8ptx-_d6rxhlcqow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питьевой воде», статьями </w:t>
      </w:r>
      <w:hyperlink w:history="1" r:id="rIdjttgpfmkzin0mikf5r7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etl5eqlaoi7ultaw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iyl7gck9xxcdyq9k8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определения тарифов на услуги централизованного питьевого водоснабжения и водоотведения» от 19 июня 2024 года № 320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irrjr3gqeltdynige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утвержденном вышеуказанным </w:t>
      </w:r>
      <w:hyperlink w:history="1" r:id="rIddfnf1yeciryxfr15udo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3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«(планируемых или фактических)» заменить словами «(планируемых и/или фактических)»;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«(фактических или плановых затрат)» заменить словами «(планируемых и/или фактических)»;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изложить в </w:t>
      </w:r>
      <w:r>
        <w:rPr>
          <w:rFonts w:ascii="Arial" w:cs="Arial" w:eastAsia="Arial" w:hAnsi="Arial"/>
          <w:sz w:val="24"/>
          <w:szCs w:val="24"/>
        </w:rPr>
        <w:t xml:space="preserve">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калькуляция затрат с расшифровками статьей;»;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изложить в </w:t>
      </w:r>
      <w:r>
        <w:rPr>
          <w:rFonts w:ascii="Arial" w:cs="Arial" w:eastAsia="Arial" w:hAnsi="Arial"/>
          <w:sz w:val="24"/>
          <w:szCs w:val="24"/>
        </w:rPr>
        <w:t xml:space="preserve">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сравнительная таблица показателей калькуляций с расшифровками статей;»;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расчетных материалов в соответствии с пунктом 12 настоящего Порядка предприятия (организации) водоснабжения и водоотведения, оказывающие услуги централизованного питьевого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проводят процедуру публичного обсуждения проекта цен (тарифов) или их предельных уровней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водоснабжения и водоотведения.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водоснабжения и водоотведения.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до проведения публичного обсуждения размещает на своем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нтернет-ресурсе информацию об ожидаемых изменениях цен (тарифов) или его предельном уровне на регулируемые товары (работы, услуги) субъектов водоснабжения и водоотведения для конечных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15 цифры «14» заменить цифрами «15»;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15¹.</w:t>
      </w:r>
      <w:r>
        <w:rPr>
          <w:rFonts w:ascii="Arial" w:cs="Arial" w:eastAsia="Arial" w:hAnsi="Arial"/>
          <w:sz w:val="24"/>
          <w:szCs w:val="24"/>
        </w:rPr>
        <w:t xml:space="preserve"> После получения всех необходимых документов в соответствии с пунктом 12 настоящего Порядка со стороны территориального подразделения государственного органа в сфере антимонопольного регулирования, в случае выявления несоответствий в расчетах и обоснованиях тарифов на услуги централизованного питьевого водоснабжения и водоотведения, территориальное подразделение государственного органа в сфере антимонопольного регулирования в письменной форме предоставляет заявителю мотивированный отказ с указанием причин и выявленных несоответствий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19¹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«19¹. Возможен пересмотр тарифа с учетом официальных данных Национального статистического комитета Кыргызской Республики по индексу потребительских цен за последний календарный год в соответствии с настоящим Порядком при обращении предприятия (организации), предоставляющего услуги централизованного питьевого водоснабжения и водоотведения.».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v0wa0xbfvufe4gnsk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dalil.kg/document/230044521</w:t>
      </w:r>
    </w:hyperlink>
  </w:p>
  <w:p>
    <w:pPr>
      <w:spacing w:after="0" w:before="40"/>
      <w:jc w:val="center"/>
    </w:pPr>
    <w:hyperlink w:history="1" r:id="rIdtkh-xkqsnjldmddwx9y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8ptx-_d6rxhlcqown3-" Type="http://schemas.openxmlformats.org/officeDocument/2006/relationships/hyperlink" Target="https://dalil.kg/document/200#st_21" TargetMode="External"/><Relationship Id="rIdjttgpfmkzin0mikf5r7db" Type="http://schemas.openxmlformats.org/officeDocument/2006/relationships/hyperlink" Target="https://dalil.kg/document/112301#st_13" TargetMode="External"/><Relationship Id="rIdwretl5eqlaoi7ultawz6o" Type="http://schemas.openxmlformats.org/officeDocument/2006/relationships/hyperlink" Target="https://dalil.kg/document/112301#st_17" TargetMode="External"/><Relationship Id="rIdguiyl7gck9xxcdyq9k87o" Type="http://schemas.openxmlformats.org/officeDocument/2006/relationships/hyperlink" Target="https://dalil.kg/document/230009755" TargetMode="External"/><Relationship Id="rIdqirrjr3gqeltdynigedzj" Type="http://schemas.openxmlformats.org/officeDocument/2006/relationships/hyperlink" Target="https://dalil.kg/document/230009757" TargetMode="External"/><Relationship Id="rIddfnf1yeciryxfr15udo8n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v0wa0xbfvufe4gnskg5" Type="http://schemas.openxmlformats.org/officeDocument/2006/relationships/hyperlink" Target="https://dalil.kg/document/230044521" TargetMode="External"/><Relationship Id="rIdtkh-xkqsnjldmddwx9y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2026-09-26T02:44:46.727Z</dcterms:created>
  <dcterms:modified xsi:type="dcterms:W3CDTF">2026-09-26T02:44:46.727Z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