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Бишкек на 2026 год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плановый период 2027–2028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3plsxlcdrim9u2szj7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основные параметры бюджета города Бишкек на 2026 год по доходам и расходам в сумме 32 873 616,8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параметры местного бюджета города Бишкек на 2027-2028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и расходам на 2027 год - в сумме 36 288 510,8 тыс. сомов, на 2028 год - в сумме 40 354 585,8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параметры бюджета города, одобренные на 2027-2028 годы, подлежат уточнению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2026 год и планового периода 2027–2028 годов формируется за счет поступлений из источников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бюджета города Бишкек на 2026 год и планового периода 2027–2028 годов предусматриваются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2026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 расходы, недофинансированные в 2025 году, компенсируются за счет и в пределах ассигнований, предусмотренных бюджетом города Бишкек на 2026 год, за счет свободных остатков на начало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Запретить бюджетным организациям и учреждениям использовать специальные средства, минуя систему казначейства. При нарушении указанного порядка 100 % специальных средств изымаются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Изменения бюджетных параметров, утвержденных настоящим постановлением, до принятия соответствующих поправок к нему, при необходимости, могут исполняться по согласованию с постоянной комиссией Бишкекского городского кенеша по экономике, бюджету,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для учреждений, финансируемых из бюджета города Бишкек, на 2026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заведующим хозяйством общеобразовательных школ – до 2800 сомов из расчета на 1 штатную единицу в зависимости от количества учащихся (до 100 учащихся – 450 сомов, от 100 до 600 – 1000 сомов, от 600 до 1200 – 1600 сомов, от 1200 до 1800 – 2200 сомов, свыше 1800 – 2800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молодым специалистам детских музыкальных школ - по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руководителям по допризывной подготовке в общеобразовательных организациях – по 6000 сомов из расчета на одного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Социального стационарного учреждения для пожилых и лиц с инвалидностью «Үмүт үйү» Департамента социального развития мэрии города Бишкек, Реабилитационного центра для лиц с инвалидностью «Аяр», муниципального учреждения «Коломто» и Геронтологического центра «Ардагер» города Бишкек, Центра помощи детям, пострадавшим от насилия и жестокого обращения, муниципального учреждения «Социальное общежитие» при Департаменте социального развития мэрии города Бишкек, муниципального учреждения «Центр помощи женщинам с детьми, пострадавшим от семейного насилия «Аялзат» – по 1 650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социальным работникам Департамента социального развития мэрии города Бишкек – по 7 000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духового, симфонического оркестра, оркестра народных инструментов, ансамблей «Семетей», «Доор», «Сувенир», фольклорного ансамбля «Кыргыз-Руху», ансамбля комузистов «Акак», библиотекарям, музейным работникам и работникам домов культуры Управления культуры мэрии города Бишкек, Исторического музея муниципального территориального управления села Чон-Арык Ленинского административного района, основного и инженерно-технического персонала Бишкекского городского драматического театра – по 5000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службы хранения материалов – по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младшему обслуживающему, техническому и военно-учетному персоналу районных военных комиссариатов – по 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другим работникам организаций образования, социальной защиты, культуры, спорта, туризма и работы с молодежью – по 1000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 ежемесячные надбавки к заработной плате работникам Детской молочной кухни Департамента социального развития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– из расчета 1000 сомов на одну ставку, но не более 1000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–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медицинскому персоналу –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водителям специализированных транспортных средств Детской молочной кухни Департамента социального развития мэрии города Бишкек для перевозки детской молочной продукции - из расчета 2000 сомов на одну ставку, но не более 2000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ежемесячные надбавки к заработной плате работникам Бишкекской городской дезинфекционной станции по профилактической дезинфекции при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среднему и прочему персоналу - из расчета 1000 сомов на одну ставку, но не более 1000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младшему персоналу - из расчета 1500 сомов на одну ставку, но не более 1500 сомов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Департамента образования мэрии города Бишкек – по 1500 сомов из расчета на 1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из местного бюджета в размере 100 % к должностному окладу муниципальным служащим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 и муниципальным служащим подведомственных и территориальных подразделений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ежемесячные стимулирующие выплаты из местного бюджета в размере 200% к должностному окладу работникам младшего обслуживающего и технического персонала, занятого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Бишкек, а также работникам централизованной бухгалтерии Управления культуры мэрии города Бишкек и районных центров образования, за исключением главных бухгалтеров: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администраций мэрии города Бишкек по административным районам и подведомственных подразделений мэрии города Бишкек, которым ежемесячные стимулирующие выплаты из местного бюджета увеличиваются на 170%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муниципальных территориальных управлений, районных управлений социального развития, которым ежемесячные стимулирующие выплаты из местного бюджета увеличиваются на 150% от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премию по итогам деятельности за полугодие и год работникам младшего обслуживающего и технического персонала, занятого обслуживанием центрального аппарата мэрии города Бишкек, Бишкекского городского кенеша, муниципальных администраций мэрии города Бишкек по административным районам, подведомственных и территориальных подразделений мэрии города Бишкек (в течение года на премирование направляются средства в размере двухмесячного фонда заработной 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Установить для младшего обслуживающего и технического персонала, занятого обслуживанием органов местного самоуправления, работников централизованных бухгалтерий Управления культуры мэрии города Бишкек, районных центров образования следующие компенсационные суммы, которые не учитываются при расчетах отпускных, пособий и выплачиваются за фактически отработанное время (исключаются командировочные, отпускные дни, дни временной нетрудоспособности, дни работы в выходные):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за транспортные расходы – в размере 2000 сомов в месяц, за исключением обслуживающего персонала, за которым закреплен служебный или дежурный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r>
        <w:rPr>
          <w:rFonts w:ascii="Arial" w:cs="Arial" w:eastAsia="Arial" w:hAnsi="Arial"/>
          <w:sz w:val="24"/>
          <w:szCs w:val="24"/>
        </w:rPr>
        <w:t xml:space="preserve"> за питание – в размере 5000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для детей с дефектами умственного и физического развития – 120 сомов, в группах с круглосуточным пребыванием детей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для детей льготных 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-.для детей в возрасте до 3 лет – 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r>
        <w:rPr>
          <w:rFonts w:ascii="Arial" w:cs="Arial" w:eastAsia="Arial" w:hAnsi="Arial"/>
          <w:sz w:val="24"/>
          <w:szCs w:val="24"/>
        </w:rPr>
        <w:t xml:space="preserve">в детском саду для детей, больных туберкулезом –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детей-сирот и детей из малообеспеченных семей – учащихся 5-7 классов –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учащихся 1-4 классов –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 </w:t>
      </w:r>
      <w:r>
        <w:rPr>
          <w:rFonts w:ascii="Arial" w:cs="Arial" w:eastAsia="Arial" w:hAnsi="Arial"/>
          <w:sz w:val="24"/>
          <w:szCs w:val="24"/>
        </w:rPr>
        <w:t xml:space="preserve">в общеобразовательных организациях для учащихся с дефектами умственного и физического развития – 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</w:t>
      </w:r>
      <w:r>
        <w:rPr>
          <w:rFonts w:ascii="Arial" w:cs="Arial" w:eastAsia="Arial" w:hAnsi="Arial"/>
          <w:sz w:val="24"/>
          <w:szCs w:val="24"/>
        </w:rPr>
        <w:t xml:space="preserve">в Центре для детей, находящихся в трудной жизненной ситуации «Акниет», в Центре реинтеграции для несовершеннолетних детей «Айданек» и интернатных группах в средней школе–интернате № 71 Октябрьского района и школе интернате-лицее №1 – 220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 Реабилитационном центре для лиц с инвалидностью «Аяр»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 </w:t>
      </w:r>
      <w:r>
        <w:rPr>
          <w:rFonts w:ascii="Arial" w:cs="Arial" w:eastAsia="Arial" w:hAnsi="Arial"/>
          <w:sz w:val="24"/>
          <w:szCs w:val="24"/>
        </w:rPr>
        <w:t xml:space="preserve"> на горячее питание лежачим больным –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 Геронтологическом центре «Ардагер» города Бишкек –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 </w:t>
      </w:r>
      <w:r>
        <w:rPr>
          <w:rFonts w:ascii="Arial" w:cs="Arial" w:eastAsia="Arial" w:hAnsi="Arial"/>
          <w:sz w:val="24"/>
          <w:szCs w:val="24"/>
        </w:rPr>
        <w:t xml:space="preserve">в муниципальном учреждении «Центр помощи женщинам с детьми, пострадавшим от семейного насилия «Аялзат» –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на питание для лиц без определенного места жительства –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на питание детей из малообеспеченных семей, находящихся в пришкольных лагерях – 145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  </w:t>
      </w:r>
      <w:r>
        <w:rPr>
          <w:rFonts w:ascii="Arial" w:cs="Arial" w:eastAsia="Arial" w:hAnsi="Arial"/>
          <w:sz w:val="24"/>
          <w:szCs w:val="24"/>
        </w:rPr>
        <w:t xml:space="preserve">в Центре для детей, находящихся в трудной жизненной ситуации «Акниет», Центре реинтеграции для несовершеннолетних детей «Айданек» – до 12,80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  </w:t>
      </w:r>
      <w:r>
        <w:rPr>
          <w:rFonts w:ascii="Arial" w:cs="Arial" w:eastAsia="Arial" w:hAnsi="Arial"/>
          <w:sz w:val="24"/>
          <w:szCs w:val="24"/>
        </w:rPr>
        <w:t xml:space="preserve"> в Реабилитационном центре для лиц с инвалидностью «Аяр» – до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  </w:t>
      </w:r>
      <w:r>
        <w:rPr>
          <w:rFonts w:ascii="Arial" w:cs="Arial" w:eastAsia="Arial" w:hAnsi="Arial"/>
          <w:sz w:val="24"/>
          <w:szCs w:val="24"/>
        </w:rPr>
        <w:t xml:space="preserve">в муниципальном учреждении «Центр помощи женщинам с детьми, пострадавшим от семейного насилия «Аялзат», Геронтологическом центре «Ардагер» города Бишкек – 12,50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  </w:t>
      </w:r>
      <w:r>
        <w:rPr>
          <w:rFonts w:ascii="Arial" w:cs="Arial" w:eastAsia="Arial" w:hAnsi="Arial"/>
          <w:sz w:val="24"/>
          <w:szCs w:val="24"/>
        </w:rPr>
        <w:t xml:space="preserve">для лиц без определенного места жительства – до 12,50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2026 год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  </w:t>
      </w:r>
      <w:r>
        <w:rPr>
          <w:rFonts w:ascii="Arial" w:cs="Arial" w:eastAsia="Arial" w:hAnsi="Arial"/>
          <w:sz w:val="24"/>
          <w:szCs w:val="24"/>
        </w:rPr>
        <w:t xml:space="preserve">на содержание муниципального учреждения «Центр помощи женщинам с детьми, пострадавшим от семейного насилия – «Аялзат»;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  </w:t>
      </w:r>
      <w:r>
        <w:rPr>
          <w:rFonts w:ascii="Arial" w:cs="Arial" w:eastAsia="Arial" w:hAnsi="Arial"/>
          <w:sz w:val="24"/>
          <w:szCs w:val="24"/>
        </w:rPr>
        <w:t xml:space="preserve">на содержание 70,0 штатных единиц работников Геронтологического центра «Ардагер»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  </w:t>
      </w:r>
      <w:r>
        <w:rPr>
          <w:rFonts w:ascii="Arial" w:cs="Arial" w:eastAsia="Arial" w:hAnsi="Arial"/>
          <w:sz w:val="24"/>
          <w:szCs w:val="24"/>
        </w:rPr>
        <w:t xml:space="preserve">на содержание двух вечерних общеобразовательных школ Ленинского, Октябрьского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учреждения «Учебно-воспитательный комплекс SOS - Германа Гмайнера города Бишкек», детского сада SOS - Детской деревни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за коммунальные услуги Реабилитационного центра «Оберег», Общественного объединения родителей детей-аутистов «Рука в руке»;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6)  </w:t>
      </w:r>
      <w:r>
        <w:rPr>
          <w:rFonts w:ascii="Arial" w:cs="Arial" w:eastAsia="Arial" w:hAnsi="Arial"/>
          <w:sz w:val="24"/>
          <w:szCs w:val="24"/>
        </w:rPr>
        <w:t xml:space="preserve">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7)  </w:t>
      </w:r>
      <w:r>
        <w:rPr>
          <w:rFonts w:ascii="Arial" w:cs="Arial" w:eastAsia="Arial" w:hAnsi="Arial"/>
          <w:sz w:val="24"/>
          <w:szCs w:val="24"/>
        </w:rPr>
        <w:t xml:space="preserve">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льгот на питание детей – получателей ваучера в рамках пилотной апробации ваучерного механизма финансирования услуг дошкольного образования для детей из социально уязвимых слоев населения, малообеспеченных и малоимущих семей, а также проживающих в труднодоступных и высокогорных, отдаленных районах Кыргызской Республики, в размере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организацию перевозки детей жилых массивов «Кут», «Дача-Су», «Учкун», «Учкун-2» в Атбашинскую общеобразовательную школу в жилмассиве «Манас» Сокулукского района Чуйской области, жилмассива «Бугу Эне багыш» в общеобразовательную школу Аманат айыльного аймака им. С. Чокморова, жилмассива «Лесхоз» в общеобразовательную школу № 107 села Маевка, жилмассива «Алтын-Казык» в общеобразовательную школу № 86 жилмассива «Калыс-Ордо», жилмассива «Ак-Жар» в общеобразовательную школу № 87 жилмассива «Келечек» и в общеобразовательную школу № 94 жилмассива «Дордой»;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  </w:t>
      </w:r>
      <w:r>
        <w:rPr>
          <w:rFonts w:ascii="Arial" w:cs="Arial" w:eastAsia="Arial" w:hAnsi="Arial"/>
          <w:sz w:val="24"/>
          <w:szCs w:val="24"/>
        </w:rPr>
        <w:t xml:space="preserve">на реализацию Программы «Депозит молодого учителя» в учреждениях образования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  </w:t>
      </w:r>
      <w:r>
        <w:rPr>
          <w:rFonts w:ascii="Arial" w:cs="Arial" w:eastAsia="Arial" w:hAnsi="Arial"/>
          <w:sz w:val="24"/>
          <w:szCs w:val="24"/>
        </w:rPr>
        <w:t xml:space="preserve">на приобретение по 200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  </w:t>
      </w:r>
      <w:r>
        <w:rPr>
          <w:rFonts w:ascii="Arial" w:cs="Arial" w:eastAsia="Arial" w:hAnsi="Arial"/>
          <w:sz w:val="24"/>
          <w:szCs w:val="24"/>
        </w:rPr>
        <w:t xml:space="preserve">на содержание водителей грузовых автомашин, находящихся на балансе муниципальных территориальных управлений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оплату за питание в дошкольных образовательных учреждениях города Бишкек за счет родительских взносов с последующим администрированием на специальном счете: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- 100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– 120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должностные оклады работникам Службы хранения материалов мобилизационного резерва мэрии города Бишкек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должностные оклады работникам муниципального учреждения «Пансионат «Алтын-Булак» при Департаменте физической культуры и спорта, туризма и работы с молодежью мэрии города Бишкек, муниципального учреждения «Социальное общежитие» при Департаменте социального развития мэрии города Бишкек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Одобрить структуру бюджетных программ и мер по городу Бишкек на 2026-2028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Разрешить осуществить расходы за счет средств свободных остатков на начало 2026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направление расходов остатка специальных средств бюджетных учреждений на начало года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возложить персональную ответственность за исполнение доходной части по налоговым и неналоговым поступлениям на первого заместителя мэра города Бишкек, курирующих заместителей мэра, руководителей районных УГНС, УККН и глав административных районов города Бишкек, начальников управления муниципальной собственности центрального аппарата мэрии города Бишкек, соответствующих управлений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персональную ответственность на курирующего заместителя мэра и руководителей структурных подразделений за неосвоенные средства, предусмотренные на капитальные вложения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работу с Кабинетом Министров Кыргызской Республики по вопросу передачи финансирования расходов сферы образования города Бишкек из местного бюджета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работу с Министерством просвещения Кыргызской Республики по вопросу передачи на финансирование из республиканского бюджета 2 школ интернатного типа - № 1 и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с Министерством труда и социального развития Кыргызской Республики по вопросам осуществления функций выплаты госпособий на территории города Бишкек и вопросам компенсации расходов, связанных с их исполнением, 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достижение самоокупаемости, прибыльности и пополнение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эффективного использования муниципального имущества и качественного оказания услуг горожанам, в целях содержания элементов благоустройства города Бишкек, в срок до 1 июля 2026 года разработать и утвердить положение, регламентирующее порядок формирования, размещения и исполнения муниципального заказа, обеспечивая его соответствие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осуществить комплексный функциональный анализ деятельности центрального аппарата, а также всех структурных и подведомственных подразделений и до 1 июля 2026 года представить конкретные предложения, направленные на оптимизацию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обратить особое внимание в процессе исполнения бюджета города на обращения жителей города, озвученные и предложенные на общественных слушаниях;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на согласование проект бюджета города Бишкек на 2027 год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разместить настоящее постановление на своем официальном сайте в течение 15 дней после его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во внимание замечания и предложения постоянной комиссии Бишкекского городского кенеша по экономике, бюджету, финансам и инвестициям и в кратчайшие сроки принять необходимые меры по их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мэр города Бишкек несет ответственность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https://www.gorkenesh.kg/ru/the-rulings-of-the-bgk-mob/29-sozyv/6498-85-ob-utverzhdenii-byudzheta-goroda-bishkek-na-2026-god-i-planovyj-period-2027-2028-godov.html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бумажной версии в Министерстве юстиции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fwq7mlgbtj2ocgpdx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dalil.kg/document/230045010</w:t>
      </w:r>
    </w:hyperlink>
  </w:p>
  <w:p>
    <w:pPr>
      <w:spacing w:after="0" w:before="40"/>
      <w:jc w:val="center"/>
    </w:pPr>
    <w:hyperlink w:history="1" r:id="rId0l8sz9d12zhv1g6jpah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lsxlcdrim9u2szj7yb-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fwq7mlgbtj2ocgpdxuh" Type="http://schemas.openxmlformats.org/officeDocument/2006/relationships/hyperlink" Target="https://dalil.kg/document/230045010" TargetMode="External"/><Relationship Id="rId0l8sz9d12zhv1g6jpah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2026-09-26T15:25:27.830Z</dcterms:created>
  <dcterms:modified xsi:type="dcterms:W3CDTF">2026-09-26T15:25:27.830Z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