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 25 апреля 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6 </w:t>
      </w:r>
      <w:r>
        <w:rPr>
          <w:rFonts w:ascii="Arial" w:cs="Arial" w:eastAsia="Arial" w:hAnsi="Arial"/>
          <w:sz w:val="24"/>
          <w:szCs w:val="24"/>
        </w:rPr>
        <w:t xml:space="preserve">года №</w:t>
      </w:r>
      <w:r>
        <w:rPr>
          <w:rFonts w:ascii="Arial" w:cs="Arial" w:eastAsia="Arial" w:hAnsi="Arial"/>
          <w:sz w:val="24"/>
          <w:szCs w:val="24"/>
        </w:rPr>
        <w:t xml:space="preserve"> 289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работников, не относящихся к категории государственных служащих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занятых в государственных подведомственных учреждениях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условий оплаты труда работников учреждений культуры, </w:t>
      </w:r>
      <w:r>
        <w:rPr>
          <w:rFonts w:ascii="Arial" w:cs="Arial" w:eastAsia="Arial" w:hAnsi="Arial"/>
          <w:sz w:val="24"/>
          <w:szCs w:val="24"/>
        </w:rPr>
        <w:t xml:space="preserve">реализации </w:t>
      </w:r>
      <w:hyperlink w:history="1" r:id="rIdpbmc5sdhug2rhlszk_p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мерах по совершенствованию условий оплаты труда отдельных работников бюджетной сферы Кыргызской Республики» от 26 марта 2026 года № 121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соответствии</w:t>
      </w:r>
      <w:r>
        <w:rPr>
          <w:rFonts w:ascii="Arial" w:cs="Arial" w:eastAsia="Arial" w:hAnsi="Arial"/>
          <w:sz w:val="24"/>
          <w:szCs w:val="24"/>
        </w:rPr>
        <w:t xml:space="preserve"> 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Установить минималь</w:t>
      </w:r>
      <w:r>
        <w:rPr>
          <w:rFonts w:ascii="Arial" w:cs="Arial" w:eastAsia="Arial" w:hAnsi="Arial"/>
          <w:sz w:val="24"/>
          <w:szCs w:val="24"/>
        </w:rPr>
        <w:t xml:space="preserve">ную</w:t>
      </w:r>
      <w:r>
        <w:rPr>
          <w:rFonts w:ascii="Arial" w:cs="Arial" w:eastAsia="Arial" w:hAnsi="Arial"/>
          <w:sz w:val="24"/>
          <w:szCs w:val="24"/>
        </w:rPr>
        <w:t xml:space="preserve"> базов</w:t>
      </w:r>
      <w:r>
        <w:rPr>
          <w:rFonts w:ascii="Arial" w:cs="Arial" w:eastAsia="Arial" w:hAnsi="Arial"/>
          <w:sz w:val="24"/>
          <w:szCs w:val="24"/>
        </w:rPr>
        <w:t xml:space="preserve">ую</w:t>
      </w:r>
      <w:r>
        <w:rPr>
          <w:rFonts w:ascii="Arial" w:cs="Arial" w:eastAsia="Arial" w:hAnsi="Arial"/>
          <w:sz w:val="24"/>
          <w:szCs w:val="24"/>
        </w:rPr>
        <w:t xml:space="preserve">ставку</w:t>
      </w:r>
      <w:r>
        <w:rPr>
          <w:rFonts w:ascii="Arial" w:cs="Arial" w:eastAsia="Arial" w:hAnsi="Arial"/>
          <w:sz w:val="24"/>
          <w:szCs w:val="24"/>
        </w:rPr>
        <w:t xml:space="preserve"> в размере 7</w:t>
      </w:r>
      <w:r>
        <w:rPr>
          <w:rFonts w:ascii="Arial" w:cs="Arial" w:eastAsia="Arial" w:hAnsi="Arial"/>
          <w:sz w:val="24"/>
          <w:szCs w:val="24"/>
        </w:rPr>
        <w:t xml:space="preserve">040 сомов, являющуюся основанием для расчета должностных окладов работников учреждений культуры.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коэффициенты кратности к должностным окладам работников, не относящихся к категории государственных служащих и занятых в государственных подведомственных учреждениях в сфере культуры, работников технического и младшего обслуживающего персонала, занятого обслуживанием государственных учреждений, подведомственных учреждений в сфере культуры, согласно приложениям </w:t>
      </w:r>
      <w:hyperlink w:history="1" r:id="rIdqmjwrdt0ae_6r2t41gn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2bi-6kdcrbzhhw_c82r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размеры процентных надбавок за выслугу лет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власти, работник</w:t>
      </w: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 технического обслуживающего персонала, занятого обслуживанием государственных учреждений, подведомственных учреждений в сфере культуры, за исключением младшего обслуживающего персонала, согласно </w:t>
      </w:r>
      <w:hyperlink w:history="1" r:id="rIdf4w1_tw9mimeidk4trk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</w:t>
        </w:r>
      </w:hyperlink>
      <w:r>
        <w:rPr>
          <w:rFonts w:ascii="Arial" w:cs="Arial" w:eastAsia="Arial" w:hAnsi="Arial"/>
          <w:sz w:val="24"/>
          <w:szCs w:val="24"/>
        </w:rPr>
        <w:t xml:space="preserve">9.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работникам</w:t>
      </w:r>
      <w:r>
        <w:rPr>
          <w:rFonts w:ascii="Arial" w:cs="Arial" w:eastAsia="Arial" w:hAnsi="Arial"/>
          <w:sz w:val="24"/>
          <w:szCs w:val="24"/>
        </w:rPr>
        <w:t xml:space="preserve">, за исключением младшего обслуживающего персонала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при выходе в трудовой отпуск выплачивается пособие на оздоровление в размере двухмесячного фонда заработной платы;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конце календарного года выплачивается тринадцатая заработная плата в размере среднемесячного фонда заработной платы;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выплачивается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</w:t>
      </w:r>
      <w:r>
        <w:rPr>
          <w:rFonts w:ascii="Arial" w:cs="Arial" w:eastAsia="Arial" w:hAnsi="Arial"/>
          <w:sz w:val="24"/>
          <w:szCs w:val="24"/>
        </w:rPr>
        <w:t xml:space="preserve">ая</w:t>
      </w:r>
      <w:r>
        <w:rPr>
          <w:rFonts w:ascii="Arial" w:cs="Arial" w:eastAsia="Arial" w:hAnsi="Arial"/>
          <w:sz w:val="24"/>
          <w:szCs w:val="24"/>
        </w:rPr>
        <w:t xml:space="preserve"> выплата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размере 15</w:t>
      </w:r>
      <w:r>
        <w:rPr>
          <w:rFonts w:ascii="Arial" w:cs="Arial" w:eastAsia="Arial" w:hAnsi="Arial"/>
          <w:sz w:val="24"/>
          <w:szCs w:val="24"/>
        </w:rPr>
        <w:t xml:space="preserve">000 сомов на 1 </w:t>
      </w:r>
      <w:r>
        <w:rPr>
          <w:rFonts w:ascii="Arial" w:cs="Arial" w:eastAsia="Arial" w:hAnsi="Arial"/>
          <w:sz w:val="24"/>
          <w:szCs w:val="24"/>
        </w:rPr>
        <w:t xml:space="preserve">штатную единицу (1 ставку) </w:t>
      </w:r>
      <w:r>
        <w:rPr>
          <w:rFonts w:ascii="Arial" w:cs="Arial" w:eastAsia="Arial" w:hAnsi="Arial"/>
          <w:sz w:val="24"/>
          <w:szCs w:val="24"/>
        </w:rPr>
        <w:t xml:space="preserve">работникам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за исключением технического и младшего обслуживающего персонала;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размере 5</w:t>
      </w:r>
      <w:r>
        <w:rPr>
          <w:rFonts w:ascii="Arial" w:cs="Arial" w:eastAsia="Arial" w:hAnsi="Arial"/>
          <w:sz w:val="24"/>
          <w:szCs w:val="24"/>
        </w:rPr>
        <w:t xml:space="preserve">000 сомов на 1 </w:t>
      </w:r>
      <w:r>
        <w:rPr>
          <w:rFonts w:ascii="Arial" w:cs="Arial" w:eastAsia="Arial" w:hAnsi="Arial"/>
          <w:sz w:val="24"/>
          <w:szCs w:val="24"/>
        </w:rPr>
        <w:t xml:space="preserve">штатную единицу (1 ставку) </w:t>
      </w:r>
      <w:r>
        <w:rPr>
          <w:rFonts w:ascii="Arial" w:cs="Arial" w:eastAsia="Arial" w:hAnsi="Arial"/>
          <w:sz w:val="24"/>
          <w:szCs w:val="24"/>
        </w:rPr>
        <w:t xml:space="preserve">для технического и младшего обслуживающего персонала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резидентск</w:t>
      </w:r>
      <w:r>
        <w:rPr>
          <w:rFonts w:ascii="Arial" w:cs="Arial" w:eastAsia="Arial" w:hAnsi="Arial"/>
          <w:sz w:val="24"/>
          <w:szCs w:val="24"/>
        </w:rPr>
        <w:t xml:space="preserve">ая</w:t>
      </w:r>
      <w:r>
        <w:rPr>
          <w:rFonts w:ascii="Arial" w:cs="Arial" w:eastAsia="Arial" w:hAnsi="Arial"/>
          <w:sz w:val="24"/>
          <w:szCs w:val="24"/>
        </w:rPr>
        <w:t xml:space="preserve"> компенсационн</w:t>
      </w:r>
      <w:r>
        <w:rPr>
          <w:rFonts w:ascii="Arial" w:cs="Arial" w:eastAsia="Arial" w:hAnsi="Arial"/>
          <w:sz w:val="24"/>
          <w:szCs w:val="24"/>
        </w:rPr>
        <w:t xml:space="preserve">ая</w:t>
      </w:r>
      <w:r>
        <w:rPr>
          <w:rFonts w:ascii="Arial" w:cs="Arial" w:eastAsia="Arial" w:hAnsi="Arial"/>
          <w:sz w:val="24"/>
          <w:szCs w:val="24"/>
        </w:rPr>
        <w:t xml:space="preserve"> выплат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не учитывается при расчетах отпускных</w:t>
      </w:r>
      <w:r>
        <w:rPr>
          <w:rFonts w:ascii="Arial" w:cs="Arial" w:eastAsia="Arial" w:hAnsi="Arial"/>
          <w:sz w:val="24"/>
          <w:szCs w:val="24"/>
        </w:rPr>
        <w:t xml:space="preserve">, пособий на оздоровление, тринадцатой заработной платы, доплат к заработной плате за проживание и работу в условиях </w:t>
      </w:r>
      <w:r>
        <w:rPr>
          <w:rFonts w:ascii="Arial" w:cs="Arial" w:eastAsia="Arial" w:hAnsi="Arial"/>
          <w:sz w:val="24"/>
          <w:szCs w:val="24"/>
        </w:rPr>
        <w:t xml:space="preserve">высокогор</w:t>
      </w:r>
      <w:r>
        <w:rPr>
          <w:rFonts w:ascii="Arial" w:cs="Arial" w:eastAsia="Arial" w:hAnsi="Arial"/>
          <w:sz w:val="24"/>
          <w:szCs w:val="24"/>
        </w:rPr>
        <w:t xml:space="preserve">ья</w:t>
      </w:r>
      <w:r>
        <w:rPr>
          <w:rFonts w:ascii="Arial" w:cs="Arial" w:eastAsia="Arial" w:hAnsi="Arial"/>
          <w:sz w:val="24"/>
          <w:szCs w:val="24"/>
        </w:rPr>
        <w:t xml:space="preserve"> и отдаленных зонах Кыргызской Республики, выплачива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тся</w:t>
      </w:r>
      <w:r>
        <w:rPr>
          <w:rFonts w:ascii="Arial" w:cs="Arial" w:eastAsia="Arial" w:hAnsi="Arial"/>
          <w:sz w:val="24"/>
          <w:szCs w:val="24"/>
        </w:rPr>
        <w:t xml:space="preserve"> не более чем на одну штатную единицу (1 ставку) </w:t>
      </w:r>
      <w:r>
        <w:rPr>
          <w:rFonts w:ascii="Arial" w:cs="Arial" w:eastAsia="Arial" w:hAnsi="Arial"/>
          <w:sz w:val="24"/>
          <w:szCs w:val="24"/>
        </w:rPr>
        <w:t xml:space="preserve">за фактически отработанное время;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r>
        <w:rPr>
          <w:rFonts w:ascii="Arial" w:cs="Arial" w:eastAsia="Arial" w:hAnsi="Arial"/>
          <w:sz w:val="24"/>
          <w:szCs w:val="24"/>
        </w:rPr>
        <w:t xml:space="preserve">процентные надбавки к должностным окладам некоторых работников из числа технического и младшего обслуживающего персонала, занятого обслуживанием государственных учреждений, подведомственных учреждений в сфере культуры, </w:t>
      </w:r>
      <w:r>
        <w:rPr>
          <w:rFonts w:ascii="Arial" w:cs="Arial" w:eastAsia="Arial" w:hAnsi="Arial"/>
          <w:sz w:val="24"/>
          <w:szCs w:val="24"/>
        </w:rPr>
        <w:t xml:space="preserve">устанавливается </w:t>
      </w:r>
      <w:r>
        <w:rPr>
          <w:rFonts w:ascii="Arial" w:cs="Arial" w:eastAsia="Arial" w:hAnsi="Arial"/>
          <w:sz w:val="24"/>
          <w:szCs w:val="24"/>
        </w:rPr>
        <w:t xml:space="preserve">в следующих размерах: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водителям автом</w:t>
      </w:r>
      <w:r>
        <w:rPr>
          <w:rFonts w:ascii="Arial" w:cs="Arial" w:eastAsia="Arial" w:hAnsi="Arial"/>
          <w:sz w:val="24"/>
          <w:szCs w:val="24"/>
        </w:rPr>
        <w:t xml:space="preserve">обилей</w:t>
      </w:r>
      <w:r>
        <w:rPr>
          <w:rFonts w:ascii="Arial" w:cs="Arial" w:eastAsia="Arial" w:hAnsi="Arial"/>
          <w:sz w:val="24"/>
          <w:szCs w:val="24"/>
        </w:rPr>
        <w:t xml:space="preserve"> за ненормированный рабочий день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25 процентов от должностного оклада;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сторожам за работу в ночное время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50 процентов от </w:t>
      </w:r>
      <w:r>
        <w:rPr>
          <w:rFonts w:ascii="Arial" w:cs="Arial" w:eastAsia="Arial" w:hAnsi="Arial"/>
          <w:sz w:val="24"/>
          <w:szCs w:val="24"/>
        </w:rPr>
        <w:t xml:space="preserve">должностного оклада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уборщикам служебных помещений</w:t>
      </w:r>
      <w:r>
        <w:rPr>
          <w:rFonts w:ascii="Arial" w:cs="Arial" w:eastAsia="Arial" w:hAnsi="Arial"/>
          <w:sz w:val="24"/>
          <w:szCs w:val="24"/>
        </w:rPr>
        <w:t xml:space="preserve"> и общественных туалетов </w:t>
      </w:r>
      <w:r>
        <w:rPr>
          <w:rFonts w:ascii="Arial" w:cs="Arial" w:eastAsia="Arial" w:hAnsi="Arial"/>
          <w:sz w:val="24"/>
          <w:szCs w:val="24"/>
        </w:rPr>
        <w:t xml:space="preserve">за работу с применением синтетических моющих и дезинфицирующих средств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25 процентов от должностного оклада;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 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городов республиканского значения вправе вводить надбавки и выплаты к должностным окладам работников учреждений, содержащихся за счет средств местного бюджета, утверждаемые решениями городского кенеша.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zmegnhrkpggt5056o9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условиях оплаты труда работников, не относящихся к категории государственных служащих и занятых в государственных подведомственных учреждениях в сфере культуры и информации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30 марта 2022 года № 180;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-uyoyyifew6jhfixdio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решения Кабинета Министров Кыргызской Республики в сфере телерадиовещания» от 
 </w:t>
      </w:r>
      <w:r>
        <w:rPr>
          <w:rFonts w:ascii="Arial" w:cs="Arial" w:eastAsia="Arial" w:hAnsi="Arial"/>
          <w:sz w:val="24"/>
          <w:szCs w:val="24"/>
        </w:rPr>
        <w:t xml:space="preserve">3 марта</w:t>
      </w:r>
      <w:r>
        <w:rPr>
          <w:rFonts w:ascii="Arial" w:cs="Arial" w:eastAsia="Arial" w:hAnsi="Arial"/>
          <w:sz w:val="24"/>
          <w:szCs w:val="24"/>
        </w:rPr>
        <w:t xml:space="preserve"> 2023 года № </w:t>
      </w:r>
      <w:r>
        <w:rPr>
          <w:rFonts w:ascii="Arial" w:cs="Arial" w:eastAsia="Arial" w:hAnsi="Arial"/>
          <w:sz w:val="24"/>
          <w:szCs w:val="24"/>
        </w:rPr>
        <w:t xml:space="preserve">132;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x-bmgmqe1rlfita3plk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решения Кабинета Министров Кыргызской Республики, регулирующие условия оплаты труда отдельных категорий работников органов местного самоуправления городов республиканского значения, не относящихся к категории муниципальных служащих» </w:t>
      </w:r>
      <w:r>
        <w:rPr>
          <w:rFonts w:ascii="Arial" w:cs="Arial" w:eastAsia="Arial" w:hAnsi="Arial"/>
          <w:sz w:val="24"/>
          <w:szCs w:val="24"/>
        </w:rPr>
        <w:t xml:space="preserve">от 25 апреля 2023 года № 217;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6 </w:t>
      </w:r>
      <w:hyperlink w:history="1" r:id="rIdfbl7b6gvcrlaqfvlld9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вопросах государственного учреждения «Национальная академия «Манас» от 16 мая 2023 года № 262;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пункт 1 </w:t>
      </w:r>
      <w:hyperlink w:history="1" r:id="rIdccpdpxecq_whsrlc9jd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постановления Кабинета Министров Кыргызской Республики в сфере условий оплаты труда» от 5 октября 2023 года № 525;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пункт 2 </w:t>
      </w:r>
      <w:hyperlink w:history="1" r:id="rIdchm0vtx14biko7xg-ws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решения Правительства Кыргызской Республики, Кабинета Министров Кыргызской Республики по вопросам Национального филиала Межгосударственной телерадиокомпании «Мир» от 4 декабря 2023 года № 635;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3 </w:t>
      </w:r>
      <w:hyperlink w:history="1" r:id="rIdzhv62v4ymsvfqivscpp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постановления Правительства Кыргызской Республики, Кабинета Министров Кыргызской Республики в сфере культуры» от 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 декабря 2023 года № </w:t>
      </w:r>
      <w:r>
        <w:rPr>
          <w:rFonts w:ascii="Arial" w:cs="Arial" w:eastAsia="Arial" w:hAnsi="Arial"/>
          <w:sz w:val="24"/>
          <w:szCs w:val="24"/>
        </w:rPr>
        <w:t xml:space="preserve">736;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4 </w:t>
      </w:r>
      <w:hyperlink w:history="1" r:id="rIdddc-dqxhw3la4acoxxh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Республики, Кабинета Министров Кыргызской Республики в сфере средств массовой информации» от 24 июня 2024 года № 333;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6 </w:t>
      </w:r>
      <w:hyperlink w:history="1" r:id="rId12nkvtrsgbsi6tsx5gl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создании государственного учреждения «Культурно-интеграционный центр Шанхайской организации сотрудничества» от 2 декабря 2024 года № 719;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1 </w:t>
      </w:r>
      <w:hyperlink w:history="1" r:id="rIdohy3kixb5po-3iub5qw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постановления Кабинета Министров Кыргызской Республики в сфере культуры, информации и спорта» от 15 августа 2025 года № 499.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</w:t>
      </w: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при разработке проекта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</w:t>
      </w: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республиканском бюджете Кыргызской Республики на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 и плановый период 202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–202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годов» </w:t>
      </w:r>
      <w:r>
        <w:rPr>
          <w:rFonts w:ascii="Arial" w:cs="Arial" w:eastAsia="Arial" w:hAnsi="Arial"/>
          <w:sz w:val="24"/>
          <w:szCs w:val="24"/>
        </w:rPr>
        <w:t xml:space="preserve">предусмотреть изменения,</w:t>
      </w:r>
      <w:r>
        <w:rPr>
          <w:rFonts w:ascii="Arial" w:cs="Arial" w:eastAsia="Arial" w:hAnsi="Arial"/>
          <w:sz w:val="24"/>
          <w:szCs w:val="24"/>
        </w:rPr>
        <w:t xml:space="preserve"> вытекающие из настоящего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6. 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7. 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подлежит официальному опубликованию и вступает в силу с 1 </w:t>
      </w:r>
      <w:r>
        <w:rPr>
          <w:rFonts w:ascii="Arial" w:cs="Arial" w:eastAsia="Arial" w:hAnsi="Arial"/>
          <w:sz w:val="24"/>
          <w:szCs w:val="24"/>
        </w:rPr>
        <w:t xml:space="preserve">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должностным окладам работников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Государственной книжной палаты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2"/>
        <w:gridCol w:w="5565"/>
        <w:gridCol w:w="3321"/>
      </w:tblGrid>
      <w:tr>
        <w:tc>
          <w:tcPr>
            <w:tcW w:type="dxa" w:w="12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Административно-управляющий персонал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библиограф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библиограф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библиограф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эксплуатации оборудования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Технический обслуживающий персонал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Электрик, сантехник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 садовник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зданий, рабочий по благоустройству населенных пунктов, уборщик служебных помещений, территорий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должностным окладам работников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Национального культурного центра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5"/>
        <w:gridCol w:w="5557"/>
        <w:gridCol w:w="3327"/>
      </w:tblGrid>
      <w:tr>
        <w:tc>
          <w:tcPr>
            <w:tcW w:type="dxa" w:w="1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Административно-управляющий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бухгалтер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Специалист-делопроизводитель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Технический обслуживающий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Национального культурного центра за ненормированный рабочий день выплачивается надбавка в размере 25 процентов от должностного оклада по решению руководителя.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 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должностным окладам работников государственного учреждения «Культурно-интеграционный центр Шанхайской организации сотрудничества»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5"/>
        <w:gridCol w:w="5557"/>
        <w:gridCol w:w="3327"/>
      </w:tblGrid>
      <w:tr>
        <w:tc>
          <w:tcPr>
            <w:tcW w:type="dxa" w:w="1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Административно-управляющий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Маркетолог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Технический обслуживающий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должностным окладам работников Республиканской инспекции по охране памятников истории и культуры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5"/>
        <w:gridCol w:w="5557"/>
        <w:gridCol w:w="3327"/>
      </w:tblGrid>
      <w:tr>
        <w:tc>
          <w:tcPr>
            <w:tcW w:type="dxa" w:w="1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Административно-управляющий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должностным окладам работников учреждения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«Научно-исследовательский проектный институт «Кыргызреставрация» при Министерстве культуры, информации и молодежной политики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5"/>
        <w:gridCol w:w="5557"/>
        <w:gridCol w:w="3327"/>
      </w:tblGrid>
      <w:tr>
        <w:tc>
          <w:tcPr>
            <w:tcW w:type="dxa" w:w="1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Административно-управляющий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науке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архитектор проектов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технолог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архитектор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Архитектор-реставратор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Архитектор-техник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Инженер-сметчик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 Приложение 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должностным окладам работников централизованных бухгалтерий при учреждениях и организациях культуры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3"/>
        <w:gridCol w:w="2741"/>
        <w:gridCol w:w="3387"/>
        <w:gridCol w:w="3387"/>
      </w:tblGrid>
      <w:tr>
        <w:tc>
          <w:tcPr>
            <w:tcW w:type="dxa" w:w="6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67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Централизованные бухгалтерии, обслуживающие республиканские учреждения и города республиканского значения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Централизованные бухгалтерии, обслуживающие областные, городские и районные учреждения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Основной персонал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группы учета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 Приложение 7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должностным окладам работников государственного учреждения «Национальная академия «Манас»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5"/>
        <w:gridCol w:w="5557"/>
        <w:gridCol w:w="3327"/>
      </w:tblGrid>
      <w:tr>
        <w:tc>
          <w:tcPr>
            <w:tcW w:type="dxa" w:w="1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Административно-управляющий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Вице-президент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4,95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центра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1 категории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Технический обслуживающий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 и зала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должностным окладам работников Комитета по государственным премиям имени Токтогула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5"/>
        <w:gridCol w:w="5557"/>
        <w:gridCol w:w="3327"/>
      </w:tblGrid>
      <w:tr>
        <w:tc>
          <w:tcPr>
            <w:tcW w:type="dxa" w:w="1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Административно-управляющий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1,41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 Приложение 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
  процентных надбавок за выслугу лет работникам подведомственных учреждений государственных органов, не являющимся государственными служащими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5"/>
        <w:gridCol w:w="5557"/>
        <w:gridCol w:w="3327"/>
      </w:tblGrid>
      <w:tr>
        <w:tc>
          <w:tcPr>
            <w:tcW w:type="dxa" w:w="1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3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(%)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одного до трех лет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трех до пяти лет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пяти до десяти лет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десяти до пятнадцати лет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пятнадцати до двадцати лет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двадцати до двадцати пяти лет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двадцати пяти лет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Надбавки за выслугу лет устанавливаются за стаж работы в государственных органах, а также в подведомственных учреждениях, организациях и предприятиях центральных органов государственного управления, министерств, комитета, административных ведомств.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Надбавки за выслугу лет начисляются на должностной оклад без учета других надбавок и доплат.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руководителем организации.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Комиссия по установлению трудового стажа вправе в исключительных случаях, с целью привлечения квалифицированных кадров, принять решение о включении периода работы по профессии в стаж работы для начисления надбавки за выслугу лет.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Выплата надбавок за выслугу лет производится ежемесячно, дифференцировано, в зависимости от стажа работы, дающего право на получение этой надбавки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bmc5sdhug2rhlszk_pqe" Type="http://schemas.openxmlformats.org/officeDocument/2006/relationships/hyperlink" Target="http://kodeks.duckdns.org/document/230043758" TargetMode="External"/><Relationship Id="rIdqmjwrdt0ae_6r2t41gntj" Type="http://schemas.openxmlformats.org/officeDocument/2006/relationships/hyperlink" Target="http://kodeks.duckdns.org/document/230045124#pr1" TargetMode="External"/><Relationship Id="rId2bi-6kdcrbzhhw_c82rml" Type="http://schemas.openxmlformats.org/officeDocument/2006/relationships/hyperlink" Target="http://kodeks.duckdns.org/document/230045124#pr8" TargetMode="External"/><Relationship Id="rIdf4w1_tw9mimeidk4trkij" Type="http://schemas.openxmlformats.org/officeDocument/2006/relationships/hyperlink" Target="http://kodeks.duckdns.org/document/230045124#pr9" TargetMode="External"/><Relationship Id="rIdizmegnhrkpggt5056o9ap" Type="http://schemas.openxmlformats.org/officeDocument/2006/relationships/hyperlink" Target="http://kodeks.duckdns.org/document/159064" TargetMode="External"/><Relationship Id="rId-uyoyyifew6jhfixdio_b" Type="http://schemas.openxmlformats.org/officeDocument/2006/relationships/hyperlink" Target="http://kodeks.duckdns.org/document/160040" TargetMode="External"/><Relationship Id="rIdx-bmgmqe1rlfita3plkde" Type="http://schemas.openxmlformats.org/officeDocument/2006/relationships/hyperlink" Target="http://kodeks.duckdns.org/document/230000576" TargetMode="External"/><Relationship Id="rIdfbl7b6gvcrlaqfvlld9vg" Type="http://schemas.openxmlformats.org/officeDocument/2006/relationships/hyperlink" Target="http://kodeks.duckdns.org/document/160187" TargetMode="External"/><Relationship Id="rIdccpdpxecq_whsrlc9jdoq" Type="http://schemas.openxmlformats.org/officeDocument/2006/relationships/hyperlink" Target="http://kodeks.duckdns.org/document/160453" TargetMode="External"/><Relationship Id="rIdchm0vtx14biko7xg-wsuk" Type="http://schemas.openxmlformats.org/officeDocument/2006/relationships/hyperlink" Target="http://kodeks.duckdns.org/document/230000139" TargetMode="External"/><Relationship Id="rIdzhv62v4ymsvfqivscpprb" Type="http://schemas.openxmlformats.org/officeDocument/2006/relationships/hyperlink" Target="http://kodeks.duckdns.org/document/230001317" TargetMode="External"/><Relationship Id="rIdddc-dqxhw3la4acoxxh1c" Type="http://schemas.openxmlformats.org/officeDocument/2006/relationships/hyperlink" Target="http://kodeks.duckdns.org/document/230012381" TargetMode="External"/><Relationship Id="rId12nkvtrsgbsi6tsx5glgs" Type="http://schemas.openxmlformats.org/officeDocument/2006/relationships/hyperlink" Target="http://kodeks.duckdns.org/document/230018713" TargetMode="External"/><Relationship Id="rIdohy3kixb5po-3iub5qwy6" Type="http://schemas.openxmlformats.org/officeDocument/2006/relationships/hyperlink" Target="http://kodeks.duckdns.org/document/230030759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2026-09-23T15:15:22.078Z</dcterms:created>
  <dcterms:modified xsi:type="dcterms:W3CDTF">2026-09-23T15:15:22.078Z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