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2026 года № 275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 передаче функций по реализации полномочий Кабинета Министров Кыргызской Республики по выступлению 
 в качестве акционера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(участника)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 открытом 
 акционерном обществе «Тундук»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открытого акционерного общества «Тундук»,</w:t>
      </w:r>
      <w:r>
        <w:rPr>
          <w:rFonts w:ascii="Arial" w:cs="Arial" w:eastAsia="Arial" w:hAnsi="Arial"/>
          <w:sz w:val="24"/>
          <w:szCs w:val="24"/>
        </w:rPr>
        <w:t xml:space="preserve">дальнейшего совершенствования государственного управления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создания условий для цифровой трансформации, в соответствии с </w:t>
      </w:r>
      <w:hyperlink w:history="1" r:id="rIdla2q-dbv_syqvizbkkk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некоторых вопросах открытого акционерного общества «Тундук» от 27 марта 2026 года № 129,</w:t>
      </w:r>
      <w:r>
        <w:rPr>
          <w:rFonts w:ascii="Arial" w:cs="Arial" w:eastAsia="Arial" w:hAnsi="Arial"/>
          <w:sz w:val="24"/>
          <w:szCs w:val="24"/>
        </w:rPr>
        <w:t xml:space="preserve">статьями</w:t>
      </w:r>
      <w:hyperlink w:history="1" r:id="rIdp_h-nqxb6wpgalejb_0z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3ucowrp4sfdu75pbhl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«О Кабинете Министров Кыргызской Республики»</w:t>
      </w: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Передать функции по реализации полномочий Кабинета Министров Кыргызской Республики по выступлению в качестве акционера</w:t>
      </w:r>
      <w:r>
        <w:rPr>
          <w:rFonts w:ascii="Arial" w:cs="Arial" w:eastAsia="Arial" w:hAnsi="Arial"/>
          <w:sz w:val="24"/>
          <w:szCs w:val="24"/>
        </w:rPr>
        <w:t xml:space="preserve"> (участника)</w:t>
      </w:r>
      <w:r>
        <w:rPr>
          <w:rFonts w:ascii="Arial" w:cs="Arial" w:eastAsia="Arial" w:hAnsi="Arial"/>
          <w:sz w:val="24"/>
          <w:szCs w:val="24"/>
        </w:rPr>
        <w:t xml:space="preserve"> в открытом акционерном обществе «Тундук» от Министерства цифрового развития и инновационных технологий Кыргызской Республики Управлению делами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пункт 4 </w:t>
      </w:r>
      <w:hyperlink w:history="1" r:id="rIdniczh2k1hudbomlybk9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создании открытого акционерного общества «Тундук» от 7 июля 2025 года № 400.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</w:t>
      </w:r>
      <w:r>
        <w:rPr>
          <w:rFonts w:ascii="Arial" w:cs="Arial" w:eastAsia="Arial" w:hAnsi="Arial"/>
          <w:sz w:val="24"/>
          <w:szCs w:val="24"/>
        </w:rPr>
        <w:t xml:space="preserve">по истечении семи дней </w:t>
      </w:r>
      <w:r>
        <w:rPr>
          <w:rFonts w:ascii="Arial" w:cs="Arial" w:eastAsia="Arial" w:hAnsi="Arial"/>
          <w:sz w:val="24"/>
          <w:szCs w:val="24"/>
        </w:rPr>
        <w:t xml:space="preserve">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апреля 2026 года № 32 (3792).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ljejdi3tlamr784ttaq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dalil.kg/document/230045354</w:t>
      </w:r>
    </w:hyperlink>
  </w:p>
  <w:p>
    <w:pPr>
      <w:spacing w:after="0" w:before="40"/>
      <w:jc w:val="center"/>
    </w:pPr>
    <w:hyperlink w:history="1" r:id="rIdear3jgcvatnii1g9-i_g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a2q-dbv_syqvizbkkkcs" Type="http://schemas.openxmlformats.org/officeDocument/2006/relationships/hyperlink" Target="https://dalil.kg/document/230043769" TargetMode="External"/><Relationship Id="rIdp_h-nqxb6wpgalejb_0z_" Type="http://schemas.openxmlformats.org/officeDocument/2006/relationships/hyperlink" Target="https://dalil.kg/document/112301#st_13" TargetMode="External"/><Relationship Id="rId93ucowrp4sfdu75pbhlna" Type="http://schemas.openxmlformats.org/officeDocument/2006/relationships/hyperlink" Target="https://dalil.kg/document/112301#st_17" TargetMode="External"/><Relationship Id="rIdniczh2k1hudbomlybk9wt" Type="http://schemas.openxmlformats.org/officeDocument/2006/relationships/hyperlink" Target="https://dalil.kg/document/23002916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ljejdi3tlamr784ttaqy" Type="http://schemas.openxmlformats.org/officeDocument/2006/relationships/hyperlink" Target="https://dalil.kg/document/230045354" TargetMode="External"/><Relationship Id="rIdear3jgcvatnii1g9-i_g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2026-09-24T20:44:02.478Z</dcterms:created>
  <dcterms:modified xsi:type="dcterms:W3CDTF">2026-09-24T20:44:02.478Z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