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 апреля 2026 года № 2026-П-12/20-5-(НПА)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нормативные правовые акты Национального банка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со статьями </w:t>
      </w:r>
      <w:hyperlink w:history="1" r:id="rIdhswnbiwzj7lnifn0kbdqg">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a4joz6fukv5tblmlnm81d">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o7drjr1hceeiihywtlhcn">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w:t>
      </w:r>
    </w:p>
    <w:p>
      <w:pPr>
        <w:spacing w:after="120"/>
        <w:ind w:firstLine="567"/>
        <w:jc w:val="both"/>
      </w:pPr>
      <w:r>
        <w:rPr>
          <w:rFonts w:ascii="Arial" w:cs="Arial" w:eastAsia="Arial" w:hAnsi="Arial"/>
          <w:sz w:val="24"/>
          <w:szCs w:val="24"/>
        </w:rPr>
        <w:t xml:space="preserve">1. Внести </w:t>
      </w:r>
      <w:r>
        <w:rPr>
          <w:rFonts w:ascii="Arial" w:cs="Arial" w:eastAsia="Arial" w:hAnsi="Arial"/>
          <w:sz w:val="24"/>
          <w:szCs w:val="24"/>
        </w:rPr>
        <w:t xml:space="preserve">изменения</w:t>
      </w:r>
      <w:r>
        <w:rPr>
          <w:rFonts w:ascii="Arial" w:cs="Arial" w:eastAsia="Arial" w:hAnsi="Arial"/>
          <w:sz w:val="24"/>
          <w:szCs w:val="24"/>
        </w:rPr>
        <w:t xml:space="preserve"> в следующие постановления Правления Национального банка Кыргызской Республики (прилагаются):</w:t>
      </w:r>
    </w:p>
    <w:p>
      <w:pPr>
        <w:spacing w:after="120"/>
        <w:ind w:firstLine="567"/>
        <w:jc w:val="both"/>
      </w:pPr>
      <w:r>
        <w:rPr>
          <w:rFonts w:ascii="Arial" w:cs="Arial" w:eastAsia="Arial" w:hAnsi="Arial"/>
          <w:sz w:val="24"/>
          <w:szCs w:val="24"/>
        </w:rPr>
        <w:t xml:space="preserve">1) "Об утверждении </w:t>
      </w:r>
      <w:hyperlink w:history="1" r:id="rIdpxhmq5pke7t-nh74dl01h">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w:t>
      </w:r>
      <w:hyperlink w:history="1" r:id="rIdsugkq1_je_s74geanpfx9">
        <w:r>
          <w:rPr>
            <w:rFonts w:ascii="Arial" w:cs="Arial" w:eastAsia="Arial" w:hAnsi="Arial"/>
            <w:color w:val="1D4ED8"/>
            <w:sz w:val="24"/>
            <w:szCs w:val="24"/>
            <w:u w:val="single"/>
          </w:rPr>
          <w:t xml:space="preserve">от 28 декабря 2009 года № 51/4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"О некоторых нормативных правовых актах Национального банка Кыргызской Республики" </w:t>
      </w:r>
      <w:hyperlink w:history="1" r:id="rIdh1eha74ijuw0p5x3l-j7y">
        <w:r>
          <w:rPr>
            <w:rFonts w:ascii="Arial" w:cs="Arial" w:eastAsia="Arial" w:hAnsi="Arial"/>
            <w:color w:val="1D4ED8"/>
            <w:sz w:val="24"/>
            <w:szCs w:val="24"/>
            <w:u w:val="single"/>
          </w:rPr>
          <w:t xml:space="preserve">от 28 декабря 2009 года № 51/6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"Об утверждении </w:t>
      </w:r>
      <w:hyperlink w:history="1" r:id="rIdkqwth6kup5tzlmeovqdrg">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пределах финансирования, осуществляемого в соответствии с исламскими принципами банковского дела и финансирования" </w:t>
      </w:r>
      <w:hyperlink w:history="1" r:id="rIdu7g2u1xvsusxfi-xmsxjy">
        <w:r>
          <w:rPr>
            <w:rFonts w:ascii="Arial" w:cs="Arial" w:eastAsia="Arial" w:hAnsi="Arial"/>
            <w:color w:val="1D4ED8"/>
            <w:sz w:val="24"/>
            <w:szCs w:val="24"/>
            <w:u w:val="single"/>
          </w:rPr>
          <w:t xml:space="preserve">от 12 октября 2012 года № 40/1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"Об утверждении "</w:t>
      </w:r>
      <w:hyperlink w:history="1" r:id="rIdqcuid7kbfjw-fuko7qjr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 </w:t>
      </w:r>
      <w:hyperlink w:history="1" r:id="rIdz1_akqmk2sk2cr9xmav0l">
        <w:r>
          <w:rPr>
            <w:rFonts w:ascii="Arial" w:cs="Arial" w:eastAsia="Arial" w:hAnsi="Arial"/>
            <w:color w:val="1D4ED8"/>
            <w:sz w:val="24"/>
            <w:szCs w:val="24"/>
            <w:u w:val="single"/>
          </w:rPr>
          <w:t xml:space="preserve">от 25 сентября 2013 года № 35/13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 "Об утверждении </w:t>
      </w:r>
      <w:hyperlink w:history="1" r:id="rIdsvaowfeucffr_cougkhwv">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работе с банковскими счетами, счетами по банковским вкладам (депозитам), открытыми в соответствии с исламскими принципами банковского дела и финансирования" </w:t>
      </w:r>
      <w:r>
        <w:rPr>
          <w:rFonts w:ascii="Arial" w:cs="Arial" w:eastAsia="Arial" w:hAnsi="Arial"/>
          <w:sz w:val="24"/>
          <w:szCs w:val="24"/>
        </w:rPr>
        <w:t xml:space="preserve">от 13 июня 2019 года № 2019-П-12/31-2-(НПА)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6)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"Об операциях коммерческих банков с драгоценными металлами, осуществляемых в соответствии с исламскими принципами банковского дела и финансирования" </w:t>
      </w:r>
      <w:r>
        <w:rPr>
          <w:rFonts w:ascii="Arial" w:cs="Arial" w:eastAsia="Arial" w:hAnsi="Arial"/>
          <w:sz w:val="24"/>
          <w:szCs w:val="24"/>
        </w:rPr>
        <w:t xml:space="preserve">от 15 ноября 2019 года № 2019-П-12/56-3-(НПА)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Юридическому управлению:</w:t>
      </w:r>
    </w:p>
    <w:p>
      <w:pPr>
        <w:spacing w:after="120"/>
        <w:ind w:firstLine="567"/>
        <w:jc w:val="both"/>
      </w:pPr>
      <w:r>
        <w:rPr>
          <w:rFonts w:ascii="Arial" w:cs="Arial" w:eastAsia="Arial" w:hAnsi="Arial"/>
          <w:sz w:val="24"/>
          <w:szCs w:val="24"/>
        </w:rPr>
        <w:t xml:space="preserve">- со дня получения соответствующих документов в течение 3 (трех) рабочих дней опубликовать настоящее постановление на официальном интернет-сайте Национального банка Кыргызской Республики;</w:t>
      </w:r>
    </w:p>
    <w:p>
      <w:pPr>
        <w:spacing w:after="12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567"/>
        <w:jc w:val="both"/>
      </w:pPr>
      <w:r>
        <w:rPr>
          <w:rFonts w:ascii="Arial" w:cs="Arial" w:eastAsia="Arial" w:hAnsi="Arial"/>
          <w:sz w:val="24"/>
          <w:szCs w:val="24"/>
        </w:rPr>
        <w:t xml:space="preserve">3. Настоящее постановление вступает в силу по истечении 15 (пятнадцати) дней со дня официального опубликования.</w:t>
      </w:r>
    </w:p>
    <w:p>
      <w:pPr>
        <w:spacing w:after="120"/>
        <w:ind w:firstLine="567"/>
        <w:jc w:val="both"/>
      </w:pPr>
      <w:r>
        <w:rPr>
          <w:rFonts w:ascii="Arial" w:cs="Arial" w:eastAsia="Arial" w:hAnsi="Arial"/>
          <w:sz w:val="24"/>
          <w:szCs w:val="24"/>
        </w:rPr>
        <w:t xml:space="preserve">4. Управлению методологии надзора в течение 3 (трех) рабочих дней со дня официального опубликования настоящего постановления довести его до сведения коммерческих банков, микрофинансовых организаций, кредитных союзов, Объединения юридических лиц "Союз банков Кыргызстана", Объединения юридических лиц "Ассоциация Микрофинансовых Организаций", ОАО "Финансовая компания кредитных союзов" и Объединения юридических лиц "Национальная ассоциация кредитных союзов и кооперативов".</w:t>
      </w:r>
    </w:p>
    <w:p>
      <w:pPr>
        <w:spacing w:after="120"/>
        <w:ind w:firstLine="567"/>
        <w:jc w:val="both"/>
      </w:pPr>
      <w:r>
        <w:rPr>
          <w:rFonts w:ascii="Arial" w:cs="Arial" w:eastAsia="Arial" w:hAnsi="Arial"/>
          <w:sz w:val="24"/>
          <w:szCs w:val="24"/>
        </w:rPr>
        <w:t xml:space="preserve">5. Отделу "Секретариат Правления" в течение 3 (трех) рабочих дней со дня принятия настоящего постановления довести его до сведения структурных подразделений, областных управлений и Представительства Национального банка Кыргызской Республики в Баткенской области.</w:t>
      </w:r>
    </w:p>
    <w:p>
      <w:pPr>
        <w:spacing w:after="120"/>
        <w:ind w:firstLine="567"/>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 Бакетаев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Национального банка Кыргызской Республики
 от 2 апреля 2026 года № 2026-П-12/20-5-(НПА)</w:t>
      </w:r>
    </w:p>
    <w:p>
      <w:pPr>
        <w:spacing w:after="240" w:before="200"/>
        <w:jc w:val="center"/>
      </w:pPr>
      <w:r>
        <w:rPr>
          <w:rFonts w:ascii="Arial" w:cs="Arial" w:eastAsia="Arial" w:hAnsi="Arial"/>
          <w:b/>
          <w:bCs/>
          <w:sz w:val="32"/>
          <w:szCs w:val="32"/>
        </w:rPr>
        <w:t xml:space="preserve">ИЗМЕНЕНИЯ
 в некоторые нормативные правовые акты Национального банка Кыргызской Республики</w:t>
      </w:r>
    </w:p>
    <w:p>
      <w:pPr>
        <w:spacing w:after="120"/>
        <w:ind w:firstLine="567"/>
        <w:jc w:val="both"/>
      </w:pPr>
      <w:r>
        <w:rPr>
          <w:rFonts w:ascii="Arial" w:cs="Arial" w:eastAsia="Arial" w:hAnsi="Arial"/>
          <w:sz w:val="24"/>
          <w:szCs w:val="24"/>
        </w:rPr>
        <w:t xml:space="preserve">1. Внести в </w:t>
      </w:r>
      <w:hyperlink w:history="1" r:id="rIdyg6mbvi8xzk2uzs5apjb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nzgfnbqrsrbpzzzsvjhen">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от 28 декабря 2009 года № 51/4 следующие изменения:</w:t>
      </w:r>
    </w:p>
    <w:p>
      <w:pPr>
        <w:spacing w:after="120"/>
        <w:ind w:firstLine="567"/>
        <w:jc w:val="both"/>
      </w:pPr>
      <w:r>
        <w:rPr>
          <w:rFonts w:ascii="Arial" w:cs="Arial" w:eastAsia="Arial" w:hAnsi="Arial"/>
          <w:sz w:val="24"/>
          <w:szCs w:val="24"/>
        </w:rPr>
        <w:t xml:space="preserve">в </w:t>
      </w:r>
      <w:hyperlink w:history="1" r:id="rIdk9c1pwmhiaqufbhfsj2lu">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утвержденной вышеуказанным </w:t>
      </w:r>
      <w:hyperlink w:history="1" r:id="rIdrcikb-ze43wx2g66onee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подпункт 3 пункта 17 дополнить абзацем третьим следующего содержания:</w:t>
      </w:r>
    </w:p>
    <w:p>
      <w:pPr>
        <w:spacing w:after="120"/>
        <w:ind w:firstLine="567"/>
        <w:jc w:val="both"/>
      </w:pPr>
      <w:r>
        <w:rPr>
          <w:rFonts w:ascii="Arial" w:cs="Arial" w:eastAsia="Arial" w:hAnsi="Arial"/>
          <w:sz w:val="24"/>
          <w:szCs w:val="24"/>
        </w:rPr>
        <w:t xml:space="preserve">"При этом другие инструменты капитала могут быть включены в состав дополнительного капитала первого уровня с разрешения Национального банка по письменному заявлению Совета директоров банка.";</w:t>
      </w:r>
    </w:p>
    <w:p>
      <w:pPr>
        <w:spacing w:after="120"/>
        <w:ind w:firstLine="567"/>
        <w:jc w:val="both"/>
      </w:pPr>
      <w:r>
        <w:rPr>
          <w:rFonts w:ascii="Arial" w:cs="Arial" w:eastAsia="Arial" w:hAnsi="Arial"/>
          <w:sz w:val="24"/>
          <w:szCs w:val="24"/>
        </w:rPr>
        <w:t xml:space="preserve">2) пункт 24 дополнить абзацем тринадцатым следующего содержания:</w:t>
      </w:r>
    </w:p>
    <w:p>
      <w:pPr>
        <w:spacing w:after="120"/>
        <w:ind w:firstLine="567"/>
        <w:jc w:val="both"/>
      </w:pPr>
      <w:r>
        <w:rPr>
          <w:rFonts w:ascii="Arial" w:cs="Arial" w:eastAsia="Arial" w:hAnsi="Arial"/>
          <w:sz w:val="24"/>
          <w:szCs w:val="24"/>
        </w:rPr>
        <w:t xml:space="preserve">"и) активы или их часть, обеспеченные гарантиями международных финансовых организаций, имеющих долгосрочный суверенный кредитный рейтинг не ниже уровня "ААА", который присвоен рейтинговым агентством Standard &amp; Poor's, или равнозначный рейтинг, который присвоен одним из рейтинговых агентств Japan Credit Rating Agency (JCR), Fitch Ratings, Dominion Bond Rating Service (DBRS), Moody's Investors Service и другими рейтинговыми агентствами, соответствующими критериям, установленным пунктом 3 </w:t>
      </w:r>
      <w:r>
        <w:rPr>
          <w:rFonts w:ascii="Arial" w:cs="Arial" w:eastAsia="Arial" w:hAnsi="Arial"/>
          <w:sz w:val="24"/>
          <w:szCs w:val="24"/>
        </w:rPr>
        <w:t xml:space="preserve">Положения</w:t>
      </w:r>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от 14 декабря 2022 года № 2022-П-12/78-7-(НПА).".</w:t>
      </w:r>
    </w:p>
    <w:p>
      <w:pPr>
        <w:spacing w:after="120"/>
        <w:ind w:firstLine="567"/>
        <w:jc w:val="both"/>
      </w:pPr>
      <w:r>
        <w:rPr>
          <w:rFonts w:ascii="Arial" w:cs="Arial" w:eastAsia="Arial" w:hAnsi="Arial"/>
          <w:sz w:val="24"/>
          <w:szCs w:val="24"/>
        </w:rPr>
        <w:t xml:space="preserve">2. Внести в </w:t>
      </w:r>
      <w:hyperlink w:history="1" r:id="rIdjys9hq9wxx-eu0hf_as5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28 декабря 2009 года № 51/6 следующее изменение:</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42 дополнить абзацем следующего содержания:</w:t>
      </w:r>
    </w:p>
    <w:p>
      <w:pPr>
        <w:spacing w:after="120"/>
        <w:ind w:firstLine="567"/>
        <w:jc w:val="both"/>
      </w:pPr>
      <w:r>
        <w:rPr>
          <w:rFonts w:ascii="Arial" w:cs="Arial" w:eastAsia="Arial" w:hAnsi="Arial"/>
          <w:sz w:val="24"/>
          <w:szCs w:val="24"/>
        </w:rPr>
        <w:t xml:space="preserve">"Банк вправе классифицировать забалансовые обязательства в категории "нормальные", по которым банк имеет право безусловного отзыва/аннулирования в любое время без предварительного уведомления клиента.".</w:t>
      </w:r>
    </w:p>
    <w:p>
      <w:pPr>
        <w:spacing w:after="120"/>
        <w:ind w:firstLine="567"/>
        <w:jc w:val="both"/>
      </w:pPr>
      <w:r>
        <w:rPr>
          <w:rFonts w:ascii="Arial" w:cs="Arial" w:eastAsia="Arial" w:hAnsi="Arial"/>
          <w:sz w:val="24"/>
          <w:szCs w:val="24"/>
        </w:rPr>
        <w:t xml:space="preserve">3. Внести в </w:t>
      </w:r>
      <w:hyperlink w:history="1" r:id="rIdyqbefsyo-beepmny9bke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4e8__lcyf_b_xtfb9rc5f">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пределах финансирования, осуществляемого в соответствии с исламскими принципами банковского дела и финансирования" от 12 октября 2012 года № 40/1 следующие изменения:</w:t>
      </w:r>
    </w:p>
    <w:p>
      <w:pPr>
        <w:spacing w:after="120"/>
        <w:ind w:firstLine="567"/>
        <w:jc w:val="both"/>
      </w:pPr>
      <w:r>
        <w:rPr>
          <w:rFonts w:ascii="Arial" w:cs="Arial" w:eastAsia="Arial" w:hAnsi="Arial"/>
          <w:sz w:val="24"/>
          <w:szCs w:val="24"/>
        </w:rPr>
        <w:t xml:space="preserve">в </w:t>
      </w:r>
      <w:hyperlink w:history="1" r:id="rId-5b2eub2lybfp7etmwcw7">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пределах финансирования, осуществляемого в соответствии с исламскими принципами банковского дела и финансирования", утвержденной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пункте 9:</w:t>
      </w:r>
    </w:p>
    <w:p>
      <w:pPr>
        <w:spacing w:after="120"/>
        <w:ind w:firstLine="567"/>
        <w:jc w:val="both"/>
      </w:pPr>
      <w:r>
        <w:rPr>
          <w:rFonts w:ascii="Arial" w:cs="Arial" w:eastAsia="Arial" w:hAnsi="Arial"/>
          <w:sz w:val="24"/>
          <w:szCs w:val="24"/>
        </w:rPr>
        <w:t xml:space="preserve">подпункт 2 изложить в следующей редакции:</w:t>
      </w:r>
    </w:p>
    <w:p>
      <w:pPr>
        <w:spacing w:after="120"/>
        <w:ind w:firstLine="567"/>
        <w:jc w:val="both"/>
      </w:pPr>
      <w:r>
        <w:rPr>
          <w:rFonts w:ascii="Arial" w:cs="Arial" w:eastAsia="Arial" w:hAnsi="Arial"/>
          <w:sz w:val="24"/>
          <w:szCs w:val="24"/>
        </w:rPr>
        <w:t xml:space="preserve">"2) Требования или забалансовые обязательства, принятые банком, по которым имеется государственная гарантия или поручительство, выданное по решению Кабинета Министров Кыргызской Республики субъекту национальной экономики, в том числе в целях содействия в обеспечении национальной и продовольственной безопасности страны.";</w:t>
      </w:r>
    </w:p>
    <w:p>
      <w:pPr>
        <w:spacing w:after="120"/>
        <w:ind w:firstLine="567"/>
        <w:jc w:val="both"/>
      </w:pPr>
      <w:r>
        <w:rPr>
          <w:rFonts w:ascii="Arial" w:cs="Arial" w:eastAsia="Arial" w:hAnsi="Arial"/>
          <w:sz w:val="24"/>
          <w:szCs w:val="24"/>
        </w:rPr>
        <w:t xml:space="preserve">абзац второй подпункта 3 изложить в следующей редакции:</w:t>
      </w:r>
    </w:p>
    <w:p>
      <w:pPr>
        <w:spacing w:after="120"/>
        <w:ind w:firstLine="567"/>
        <w:jc w:val="both"/>
      </w:pPr>
      <w:r>
        <w:rPr>
          <w:rFonts w:ascii="Arial" w:cs="Arial" w:eastAsia="Arial" w:hAnsi="Arial"/>
          <w:sz w:val="24"/>
          <w:szCs w:val="24"/>
        </w:rPr>
        <w:t xml:space="preserve">"Требования, указанные в пунктах 8 и 9 настоящей Инструкции, и гарантии/поручительства, выданные по решению Кабинета Министров Кыргызской Республики, должны быть оформлены соответствующим образом, включая подтверждение отражения их в бюджете Кыргызской Республики в соответствии с законодательством Кыргызской Республики. При этом общая сумма гарантий/поручительств, выданных по решению Кабинета Министров Кыргызской Республики, не должна превышать 60% размера чистого суммарного капитала банка.".</w:t>
      </w:r>
    </w:p>
    <w:p>
      <w:pPr>
        <w:spacing w:after="120"/>
        <w:ind w:firstLine="567"/>
        <w:jc w:val="both"/>
      </w:pPr>
      <w:r>
        <w:rPr>
          <w:rFonts w:ascii="Arial" w:cs="Arial" w:eastAsia="Arial" w:hAnsi="Arial"/>
          <w:sz w:val="24"/>
          <w:szCs w:val="24"/>
        </w:rPr>
        <w:t xml:space="preserve">4.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hyperlink w:history="1" r:id="rIdpryujyc5pxlqsobtofoh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 от 25 сентября 2013 года № 35/13 следующие изменения:</w:t>
      </w:r>
    </w:p>
    <w:p>
      <w:pPr>
        <w:spacing w:after="120"/>
        <w:ind w:firstLine="567"/>
        <w:jc w:val="both"/>
      </w:pPr>
      <w:r>
        <w:rPr>
          <w:rFonts w:ascii="Arial" w:cs="Arial" w:eastAsia="Arial" w:hAnsi="Arial"/>
          <w:sz w:val="24"/>
          <w:szCs w:val="24"/>
        </w:rPr>
        <w:t xml:space="preserve">в "</w:t>
      </w:r>
      <w:hyperlink w:history="1" r:id="rIdjljekzlo8vbzxjpa_5wof">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в абзаце двадцать девятом пункта 12 цифру "250000" заменить цифрой "300000";</w:t>
      </w:r>
    </w:p>
    <w:p>
      <w:pPr>
        <w:spacing w:after="120"/>
        <w:ind w:firstLine="567"/>
        <w:jc w:val="both"/>
      </w:pPr>
      <w:r>
        <w:rPr>
          <w:rFonts w:ascii="Arial" w:cs="Arial" w:eastAsia="Arial" w:hAnsi="Arial"/>
          <w:sz w:val="24"/>
          <w:szCs w:val="24"/>
        </w:rPr>
        <w:t xml:space="preserve">2) в абзаце десятом пункта 29 слово "в лице" заменить словами ", определенного решением";</w:t>
      </w:r>
    </w:p>
    <w:p>
      <w:pPr>
        <w:spacing w:after="120"/>
        <w:ind w:firstLine="567"/>
        <w:jc w:val="both"/>
      </w:pPr>
      <w:r>
        <w:rPr>
          <w:rFonts w:ascii="Arial" w:cs="Arial" w:eastAsia="Arial" w:hAnsi="Arial"/>
          <w:sz w:val="24"/>
          <w:szCs w:val="24"/>
        </w:rPr>
        <w:t xml:space="preserve">3) абзац третий пункта 68-1 изложить в следующей редакции:</w:t>
      </w:r>
    </w:p>
    <w:p>
      <w:pPr>
        <w:spacing w:after="120"/>
        <w:ind w:firstLine="567"/>
        <w:jc w:val="both"/>
      </w:pPr>
      <w:r>
        <w:rPr>
          <w:rFonts w:ascii="Arial" w:cs="Arial" w:eastAsia="Arial" w:hAnsi="Arial"/>
          <w:sz w:val="24"/>
          <w:szCs w:val="24"/>
        </w:rPr>
        <w:t xml:space="preserve">"- не реже одного раза в год для остальных активов, за исключением активов до 500000 сомов, по которым в течение последнего календарного года не допускались нарушения условий договора и/или не проводились реструктуризации. По активам до 500000 сомов, по которым в течение последнего календарного года не допускались нарушения условий договора и/или не проводились реструктуризации, проводится платежный мониторинг, предполагающий анализ на основе произведенных платежей по активу.";</w:t>
      </w:r>
    </w:p>
    <w:p>
      <w:pPr>
        <w:spacing w:after="120"/>
        <w:ind w:firstLine="567"/>
        <w:jc w:val="both"/>
      </w:pPr>
      <w:r>
        <w:rPr>
          <w:rFonts w:ascii="Arial" w:cs="Arial" w:eastAsia="Arial" w:hAnsi="Arial"/>
          <w:sz w:val="24"/>
          <w:szCs w:val="24"/>
        </w:rPr>
        <w:t xml:space="preserve">4) абзац одиннадцатый пункта 70 изложить в следующей редакции:</w:t>
      </w:r>
    </w:p>
    <w:p>
      <w:pPr>
        <w:spacing w:after="120"/>
        <w:ind w:firstLine="567"/>
        <w:jc w:val="both"/>
      </w:pPr>
      <w:r>
        <w:rPr>
          <w:rFonts w:ascii="Arial" w:cs="Arial" w:eastAsia="Arial" w:hAnsi="Arial"/>
          <w:sz w:val="24"/>
          <w:szCs w:val="24"/>
        </w:rPr>
        <w:t xml:space="preserve">"- оценке целевого использования актива, несущего в себе кредитный риск, которая подтверждена документами (договоры, акты приемки, счета-фактуры, накладные и т.п.) при их наличии, в зависимости от целей финансирования, за исключением актива в размере не более 300000 сомов и актива в размере не более 500000 сомов при перечислении денежных средств банком в безналичной форме на счет продавца/поставщика товаров и/или услуг.";</w:t>
      </w:r>
    </w:p>
    <w:p>
      <w:pPr>
        <w:spacing w:after="120"/>
        <w:ind w:firstLine="567"/>
        <w:jc w:val="both"/>
      </w:pPr>
      <w:r>
        <w:rPr>
          <w:rFonts w:ascii="Arial" w:cs="Arial" w:eastAsia="Arial" w:hAnsi="Arial"/>
          <w:sz w:val="24"/>
          <w:szCs w:val="24"/>
        </w:rPr>
        <w:t xml:space="preserve">5) пункт 73 изложить в следующей редакции:</w:t>
      </w:r>
    </w:p>
    <w:p>
      <w:pPr>
        <w:spacing w:after="120"/>
        <w:ind w:firstLine="567"/>
        <w:jc w:val="both"/>
      </w:pPr>
      <w:r>
        <w:rPr>
          <w:rFonts w:ascii="Arial" w:cs="Arial" w:eastAsia="Arial" w:hAnsi="Arial"/>
          <w:sz w:val="24"/>
          <w:szCs w:val="24"/>
        </w:rPr>
        <w:t xml:space="preserve">"73. С целью постоянного контроля за сохранностью заложенного имущества и выявления возможных изменений его текущей стоимости банк должен проводить мониторинг залога, в том числе путем посещения места его хранения и местонахождения и/или путем использования видео- и фотосъемки, позволяющих осуществить проверку залога в режиме реального времени. При этом банк должен обеспечить хранение отчета о мониторинге, проведенном, в том числе, через видео- и фотосъемку, в соответствии с установленными сроками хранения досье клиента.</w:t>
      </w:r>
    </w:p>
    <w:p>
      <w:pPr>
        <w:spacing w:after="120"/>
        <w:ind w:firstLine="567"/>
        <w:jc w:val="both"/>
      </w:pPr>
      <w:r>
        <w:rPr>
          <w:rFonts w:ascii="Arial" w:cs="Arial" w:eastAsia="Arial" w:hAnsi="Arial"/>
          <w:sz w:val="24"/>
          <w:szCs w:val="24"/>
        </w:rPr>
        <w:t xml:space="preserve">Периодичность и способы мониторинга залога определяются банком самостоятельно в соответствии с политикой финансирования/залоговой политикой и зависит от качества актива и других факторов, включая вид залога с учетом риска потери. Мониторинг залога в виде движимого имущества должен проводиться по активу, сумма которого менее 300000 сомов, не реже одного раза в год.</w:t>
      </w:r>
    </w:p>
    <w:p>
      <w:pPr>
        <w:spacing w:after="120"/>
        <w:ind w:firstLine="567"/>
        <w:jc w:val="both"/>
      </w:pPr>
      <w:r>
        <w:rPr>
          <w:rFonts w:ascii="Arial" w:cs="Arial" w:eastAsia="Arial" w:hAnsi="Arial"/>
          <w:sz w:val="24"/>
          <w:szCs w:val="24"/>
        </w:rPr>
        <w:t xml:space="preserve">По активу, несущему в себе кредитный риск, сумма которого составляет 300000 и более сомов, мониторинг залога в виде движимого имущества должен проводиться:</w:t>
      </w:r>
    </w:p>
    <w:p>
      <w:pPr>
        <w:spacing w:after="120"/>
        <w:ind w:firstLine="567"/>
        <w:jc w:val="both"/>
      </w:pPr>
      <w:r>
        <w:rPr>
          <w:rFonts w:ascii="Arial" w:cs="Arial" w:eastAsia="Arial" w:hAnsi="Arial"/>
          <w:sz w:val="24"/>
          <w:szCs w:val="24"/>
        </w:rPr>
        <w:t xml:space="preserve">- не реже одного раза в полгода, если актив обеспечен на 30 и более процентов движимым имуществом;</w:t>
      </w:r>
    </w:p>
    <w:p>
      <w:pPr>
        <w:spacing w:after="120"/>
        <w:ind w:firstLine="567"/>
        <w:jc w:val="both"/>
      </w:pPr>
      <w:r>
        <w:rPr>
          <w:rFonts w:ascii="Arial" w:cs="Arial" w:eastAsia="Arial" w:hAnsi="Arial"/>
          <w:sz w:val="24"/>
          <w:szCs w:val="24"/>
        </w:rPr>
        <w:t xml:space="preserve">- не реже одного раза в год, если актив обеспечен менее чем на 30 процентов движимым имуществом.</w:t>
      </w:r>
    </w:p>
    <w:p>
      <w:pPr>
        <w:spacing w:after="120"/>
        <w:ind w:firstLine="567"/>
        <w:jc w:val="both"/>
      </w:pPr>
      <w:r>
        <w:rPr>
          <w:rFonts w:ascii="Arial" w:cs="Arial" w:eastAsia="Arial" w:hAnsi="Arial"/>
          <w:sz w:val="24"/>
          <w:szCs w:val="24"/>
        </w:rPr>
        <w:t xml:space="preserve">Обязательным условием должно быть обеспечение банком контроля за сохранностью заложенного имущества. При этом особое внимание необходимо обратить на следующие моменты:</w:t>
      </w:r>
    </w:p>
    <w:p>
      <w:pPr>
        <w:spacing w:after="120"/>
        <w:ind w:firstLine="567"/>
        <w:jc w:val="both"/>
      </w:pPr>
      <w:r>
        <w:rPr>
          <w:rFonts w:ascii="Arial" w:cs="Arial" w:eastAsia="Arial" w:hAnsi="Arial"/>
          <w:sz w:val="24"/>
          <w:szCs w:val="24"/>
        </w:rPr>
        <w:t xml:space="preserve">- снизилась ли рыночная стоимость обеспечения;</w:t>
      </w:r>
    </w:p>
    <w:p>
      <w:pPr>
        <w:spacing w:after="120"/>
        <w:ind w:firstLine="567"/>
        <w:jc w:val="both"/>
      </w:pPr>
      <w:r>
        <w:rPr>
          <w:rFonts w:ascii="Arial" w:cs="Arial" w:eastAsia="Arial" w:hAnsi="Arial"/>
          <w:sz w:val="24"/>
          <w:szCs w:val="24"/>
        </w:rPr>
        <w:t xml:space="preserve">- имеются ли какие-либо факторы, снизившие ликвидность залога со времени последней проверки;</w:t>
      </w:r>
    </w:p>
    <w:p>
      <w:pPr>
        <w:spacing w:after="120"/>
        <w:ind w:firstLine="567"/>
        <w:jc w:val="both"/>
      </w:pPr>
      <w:r>
        <w:rPr>
          <w:rFonts w:ascii="Arial" w:cs="Arial" w:eastAsia="Arial" w:hAnsi="Arial"/>
          <w:sz w:val="24"/>
          <w:szCs w:val="24"/>
        </w:rPr>
        <w:t xml:space="preserve">- обеспечивается ли сохранность залога.</w:t>
      </w:r>
    </w:p>
    <w:p>
      <w:pPr>
        <w:spacing w:after="120"/>
        <w:ind w:firstLine="567"/>
        <w:jc w:val="both"/>
      </w:pPr>
      <w:r>
        <w:rPr>
          <w:rFonts w:ascii="Arial" w:cs="Arial" w:eastAsia="Arial" w:hAnsi="Arial"/>
          <w:sz w:val="24"/>
          <w:szCs w:val="24"/>
        </w:rPr>
        <w:t xml:space="preserve">Все эти меры помогут банку в выявлении возможных тенденций ухудшения состояния клиента/партнера, а, следовательно, и актива, несущего в себе кредитный риск. Чем быстрее будут выявлены и определены эти тенденции, тем оперативнее банк сможет принять необходимые меры по исправлению ситуации и обеспечить защиту своих интересов.";</w:t>
      </w:r>
    </w:p>
    <w:p>
      <w:pPr>
        <w:spacing w:after="120"/>
        <w:ind w:firstLine="567"/>
        <w:jc w:val="both"/>
      </w:pPr>
      <w:r>
        <w:rPr>
          <w:rFonts w:ascii="Arial" w:cs="Arial" w:eastAsia="Arial" w:hAnsi="Arial"/>
          <w:sz w:val="24"/>
          <w:szCs w:val="24"/>
        </w:rPr>
        <w:t xml:space="preserve">6) в </w:t>
      </w:r>
      <w:r>
        <w:rPr>
          <w:rFonts w:ascii="Arial" w:cs="Arial" w:eastAsia="Arial" w:hAnsi="Arial"/>
          <w:sz w:val="24"/>
          <w:szCs w:val="24"/>
        </w:rPr>
        <w:t xml:space="preserve">Приложении 1</w:t>
      </w:r>
      <w:r>
        <w:rPr>
          <w:rFonts w:ascii="Arial" w:cs="Arial" w:eastAsia="Arial" w:hAnsi="Arial"/>
          <w:sz w:val="24"/>
          <w:szCs w:val="24"/>
        </w:rPr>
        <w:t xml:space="preserve"> к Положению:</w:t>
      </w:r>
    </w:p>
    <w:p>
      <w:pPr>
        <w:spacing w:after="120"/>
        <w:ind w:firstLine="567"/>
        <w:jc w:val="both"/>
      </w:pPr>
      <w:r>
        <w:rPr>
          <w:rFonts w:ascii="Arial" w:cs="Arial" w:eastAsia="Arial" w:hAnsi="Arial"/>
          <w:sz w:val="24"/>
          <w:szCs w:val="24"/>
        </w:rPr>
        <w:t xml:space="preserve">- пункт 1 дополнить абзацем восемнадцатым следующего содержания:</w:t>
      </w:r>
    </w:p>
    <w:p>
      <w:pPr>
        <w:spacing w:after="120"/>
        <w:ind w:firstLine="567"/>
        <w:jc w:val="both"/>
      </w:pPr>
      <w:r>
        <w:rPr>
          <w:rFonts w:ascii="Arial" w:cs="Arial" w:eastAsia="Arial" w:hAnsi="Arial"/>
          <w:sz w:val="24"/>
          <w:szCs w:val="24"/>
        </w:rPr>
        <w:t xml:space="preserve">"- согласие супруга/супруги клиента на получение финансирования (по финансированию свыше 300000 сомов на одного заемщика и при получении финансирования, при наличии действующих кредитов/финансирования);";</w:t>
      </w:r>
    </w:p>
    <w:p>
      <w:pPr>
        <w:spacing w:after="120"/>
        <w:ind w:firstLine="567"/>
        <w:jc w:val="both"/>
      </w:pPr>
      <w:r>
        <w:rPr>
          <w:rFonts w:ascii="Arial" w:cs="Arial" w:eastAsia="Arial" w:hAnsi="Arial"/>
          <w:sz w:val="24"/>
          <w:szCs w:val="24"/>
        </w:rPr>
        <w:t xml:space="preserve">- пункт 19 изложить в следующей редакции:</w:t>
      </w:r>
    </w:p>
    <w:p>
      <w:pPr>
        <w:spacing w:after="120"/>
        <w:ind w:firstLine="567"/>
        <w:jc w:val="both"/>
      </w:pPr>
      <w:r>
        <w:rPr>
          <w:rFonts w:ascii="Arial" w:cs="Arial" w:eastAsia="Arial" w:hAnsi="Arial"/>
          <w:sz w:val="24"/>
          <w:szCs w:val="24"/>
        </w:rPr>
        <w:t xml:space="preserve">"19. Отчет о целевом использовании финансирования, подтвержденный документами (договоры, акты приемки, счета-фактуры, накладные и т.п.) при их наличии, в зависимости от целей финансирования, за исключением финансирования в размере не более 300000 сомов и финансирования в размере не более 500000 сомов при перечислении денежных средств банком в безналичной форме на счет продавца/поставщика товаров и/или услуг.".</w:t>
      </w:r>
    </w:p>
    <w:p>
      <w:pPr>
        <w:spacing w:after="120"/>
        <w:ind w:firstLine="567"/>
        <w:jc w:val="both"/>
      </w:pPr>
      <w:r>
        <w:rPr>
          <w:rFonts w:ascii="Arial" w:cs="Arial" w:eastAsia="Arial" w:hAnsi="Arial"/>
          <w:sz w:val="24"/>
          <w:szCs w:val="24"/>
        </w:rPr>
        <w:t xml:space="preserve">5.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hyperlink w:history="1" r:id="rId_domqhlx7vle5jftwbf0d">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работе с банковскими счетами, счетами по банковским вкладам (депозитам), открытыми в соответствии с исламскими принципами банковского дела и финансирования" от 13 июня 2019 года № 2019-П-12/31-2-(НПА) следующие изменения:</w:t>
      </w:r>
    </w:p>
    <w:p>
      <w:pPr>
        <w:spacing w:after="120"/>
        <w:ind w:firstLine="567"/>
        <w:jc w:val="both"/>
      </w:pPr>
      <w:r>
        <w:rPr>
          <w:rFonts w:ascii="Arial" w:cs="Arial" w:eastAsia="Arial" w:hAnsi="Arial"/>
          <w:sz w:val="24"/>
          <w:szCs w:val="24"/>
        </w:rPr>
        <w:t xml:space="preserve">в </w:t>
      </w:r>
      <w:hyperlink w:history="1" r:id="rIdaw-hcy_hyivjlxudh9p2b">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работе с банковскими счетами, счетами по банковским вкладам (депозитам), открытыми в соответствии с исламскими принципами банковского дела и финансирования, утвержденной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пункт 9 дополнить абзацем двенадцатым следующего содержания:</w:t>
      </w:r>
    </w:p>
    <w:p>
      <w:pPr>
        <w:spacing w:after="120"/>
        <w:ind w:firstLine="567"/>
        <w:jc w:val="both"/>
      </w:pPr>
      <w:r>
        <w:rPr>
          <w:rFonts w:ascii="Arial" w:cs="Arial" w:eastAsia="Arial" w:hAnsi="Arial"/>
          <w:sz w:val="24"/>
          <w:szCs w:val="24"/>
        </w:rPr>
        <w:t xml:space="preserve">"Эскроу-счет по виртуальным активам - специальный счет, открываемый на основе трехстороннего договора, который заключен между поставщиком услуг виртуальных активов, клиентом и банком, предназначенный для учета и блокирования денежных средств до наступления обстоятельств либо выполнения обязательств, предусмотренных договором, после чего банк осуществляет перечисление денежных средств продавцу виртуальных активов. При этом виртуальные активы понимаются в значении </w:t>
      </w:r>
      <w:hyperlink w:history="1" r:id="rIdn5xz4tv7ofyov_raqckn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виртуальных активах", а операции банка совершаются в пределах услуг с виртуальными активами в соответствии с </w:t>
      </w:r>
      <w:r>
        <w:rPr>
          <w:rFonts w:ascii="Arial" w:cs="Arial" w:eastAsia="Arial" w:hAnsi="Arial"/>
          <w:sz w:val="24"/>
          <w:szCs w:val="24"/>
        </w:rPr>
        <w:t xml:space="preserve">Порядком</w:t>
      </w:r>
      <w:r>
        <w:rPr>
          <w:rFonts w:ascii="Arial" w:cs="Arial" w:eastAsia="Arial" w:hAnsi="Arial"/>
          <w:sz w:val="24"/>
          <w:szCs w:val="24"/>
        </w:rPr>
        <w:t xml:space="preserve"> предоставления услуг, связанных с виртуальными активами,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3 февраля 2023 года № 2023-П-14/8-2-(НПА).";</w:t>
      </w:r>
    </w:p>
    <w:p>
      <w:pPr>
        <w:spacing w:after="120"/>
        <w:ind w:firstLine="567"/>
        <w:jc w:val="both"/>
      </w:pPr>
      <w:r>
        <w:rPr>
          <w:rFonts w:ascii="Arial" w:cs="Arial" w:eastAsia="Arial" w:hAnsi="Arial"/>
          <w:sz w:val="24"/>
          <w:szCs w:val="24"/>
        </w:rPr>
        <w:t xml:space="preserve">2) абзац второй пункта 13 изложить в следующей редакции:</w:t>
      </w:r>
    </w:p>
    <w:p>
      <w:pPr>
        <w:spacing w:after="120"/>
        <w:ind w:firstLine="567"/>
        <w:jc w:val="both"/>
      </w:pPr>
      <w:r>
        <w:rPr>
          <w:rFonts w:ascii="Arial" w:cs="Arial" w:eastAsia="Arial" w:hAnsi="Arial"/>
          <w:sz w:val="24"/>
          <w:szCs w:val="24"/>
        </w:rPr>
        <w:t xml:space="preserve">"К специальным счетам могут относиться эскроу-счет, целевой рекультивационный счет, депозит нотариуса, эскроу-счет по виртуальным активам".</w:t>
      </w:r>
    </w:p>
    <w:p>
      <w:pPr>
        <w:spacing w:after="120"/>
        <w:ind w:firstLine="567"/>
        <w:jc w:val="both"/>
      </w:pPr>
      <w:r>
        <w:rPr>
          <w:rFonts w:ascii="Arial" w:cs="Arial" w:eastAsia="Arial" w:hAnsi="Arial"/>
          <w:sz w:val="24"/>
          <w:szCs w:val="24"/>
        </w:rPr>
        <w:t xml:space="preserve">6.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"Об операциях коммерческих банков с драгоценными металлами, осуществляемых в соответствии с исламскими принципами банковского дела и финансирования" от 15 ноября 2019 года № 2019-П-12/56-3-(НПА) следующее изменение:</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"Об операциях коммерческих банков с драгоценными металлами, осуществляемых в соответствии с исламскими принципами банковского дела и финансирования",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15 дополнить абзацем следующего содержания:</w:t>
      </w:r>
    </w:p>
    <w:p>
      <w:pPr>
        <w:spacing w:after="120"/>
        <w:ind w:firstLine="567"/>
        <w:jc w:val="both"/>
      </w:pPr>
      <w:r>
        <w:rPr>
          <w:rFonts w:ascii="Arial" w:cs="Arial" w:eastAsia="Arial" w:hAnsi="Arial"/>
          <w:sz w:val="24"/>
          <w:szCs w:val="24"/>
        </w:rPr>
        <w:t xml:space="preserve">"Из расчета максимального объема активов в драгоценных металлах и суммы средств на осуществление операций с драгоценными металлами исключаются активы и средства в драгоценных металлах в рамках оказания финансовых услуг, связанных с первичным размещением виртуальных активов эмитента в соответствии с </w:t>
      </w:r>
      <w:hyperlink w:history="1" r:id="rIdk4mn1u70urcm2anecot-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виртуальных активах".".</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co1fevbqm0vfyes452lo">
      <w:r>
        <w:rPr>
          <w:rFonts w:ascii="Arial" w:cs="Arial" w:eastAsia="Arial" w:hAnsi="Arial"/>
          <w:color w:val="132D3F"/>
          <w:sz w:val="16"/>
          <w:szCs w:val="16"/>
          <w:u w:val="single"/>
        </w:rPr>
        <w:t xml:space="preserve">dalil.kg/document/230045676</w:t>
      </w:r>
    </w:hyperlink>
  </w:p>
  <w:p>
    <w:pPr>
      <w:spacing w:after="0" w:before="40"/>
      <w:jc w:val="center"/>
    </w:pPr>
    <w:hyperlink w:history="1" r:id="rIdtg4k8xvro3rirusbymd5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swnbiwzj7lnifn0kbdqg" Type="http://schemas.openxmlformats.org/officeDocument/2006/relationships/hyperlink" Target="https://dalil.kg/document/112424#st_5" TargetMode="External"/><Relationship Id="rIda4joz6fukv5tblmlnm81d" Type="http://schemas.openxmlformats.org/officeDocument/2006/relationships/hyperlink" Target="https://dalil.kg/document/112424#st_9" TargetMode="External"/><Relationship Id="rIdo7drjr1hceeiihywtlhcn" Type="http://schemas.openxmlformats.org/officeDocument/2006/relationships/hyperlink" Target="https://dalil.kg/document/112424#st_64" TargetMode="External"/><Relationship Id="rIdpxhmq5pke7t-nh74dl01h" Type="http://schemas.openxmlformats.org/officeDocument/2006/relationships/hyperlink" Target="https://dalil.kg/document/302285" TargetMode="External"/><Relationship Id="rIdsugkq1_je_s74geanpfx9" Type="http://schemas.openxmlformats.org/officeDocument/2006/relationships/hyperlink" Target="https://dalil.kg/document/301267" TargetMode="External"/><Relationship Id="rIdh1eha74ijuw0p5x3l-j7y" Type="http://schemas.openxmlformats.org/officeDocument/2006/relationships/hyperlink" Target="https://dalil.kg/document/301269" TargetMode="External"/><Relationship Id="rIdkqwth6kup5tzlmeovqdrg" Type="http://schemas.openxmlformats.org/officeDocument/2006/relationships/hyperlink" Target="https://dalil.kg/document/302541" TargetMode="External"/><Relationship Id="rIdu7g2u1xvsusxfi-xmsxjy" Type="http://schemas.openxmlformats.org/officeDocument/2006/relationships/hyperlink" Target="https://dalil.kg/document/302540" TargetMode="External"/><Relationship Id="rIdqcuid7kbfjw-fuko7qjrh" Type="http://schemas.openxmlformats.org/officeDocument/2006/relationships/hyperlink" Target="https://dalil.kg/document/302787" TargetMode="External"/><Relationship Id="rIdz1_akqmk2sk2cr9xmav0l" Type="http://schemas.openxmlformats.org/officeDocument/2006/relationships/hyperlink" Target="https://dalil.kg/document/302788" TargetMode="External"/><Relationship Id="rIdsvaowfeucffr_cougkhwv" Type="http://schemas.openxmlformats.org/officeDocument/2006/relationships/hyperlink" Target="https://dalil.kg/document/800454" TargetMode="External"/><Relationship Id="rIdyg6mbvi8xzk2uzs5apjbh" Type="http://schemas.openxmlformats.org/officeDocument/2006/relationships/hyperlink" Target="https://dalil.kg/document/301267" TargetMode="External"/><Relationship Id="rIdnzgfnbqrsrbpzzzsvjhen" Type="http://schemas.openxmlformats.org/officeDocument/2006/relationships/hyperlink" Target="https://dalil.kg/document/302285" TargetMode="External"/><Relationship Id="rIdk9c1pwmhiaqufbhfsj2lu" Type="http://schemas.openxmlformats.org/officeDocument/2006/relationships/hyperlink" Target="https://dalil.kg/document/302285" TargetMode="External"/><Relationship Id="rIdrcikb-ze43wx2g66oneel" Type="http://schemas.openxmlformats.org/officeDocument/2006/relationships/hyperlink" Target="https://dalil.kg/document/301267" TargetMode="External"/><Relationship Id="rIdjys9hq9wxx-eu0hf_as5s" Type="http://schemas.openxmlformats.org/officeDocument/2006/relationships/hyperlink" Target="https://dalil.kg/document/301269" TargetMode="External"/><Relationship Id="rIdyqbefsyo-beepmny9bke5" Type="http://schemas.openxmlformats.org/officeDocument/2006/relationships/hyperlink" Target="https://dalil.kg/document/301269" TargetMode="External"/><Relationship Id="rId4e8__lcyf_b_xtfb9rc5f" Type="http://schemas.openxmlformats.org/officeDocument/2006/relationships/hyperlink" Target="https://dalil.kg/document/302541" TargetMode="External"/><Relationship Id="rId-5b2eub2lybfp7etmwcw7" Type="http://schemas.openxmlformats.org/officeDocument/2006/relationships/hyperlink" Target="https://dalil.kg/document/302541" TargetMode="External"/><Relationship Id="rIdpryujyc5pxlqsobtofohd" Type="http://schemas.openxmlformats.org/officeDocument/2006/relationships/hyperlink" Target="https://dalil.kg/document/302787" TargetMode="External"/><Relationship Id="rIdjljekzlo8vbzxjpa_5wof" Type="http://schemas.openxmlformats.org/officeDocument/2006/relationships/hyperlink" Target="https://dalil.kg/document/302787" TargetMode="External"/><Relationship Id="rId_domqhlx7vle5jftwbf0d" Type="http://schemas.openxmlformats.org/officeDocument/2006/relationships/hyperlink" Target="https://dalil.kg/document/800454" TargetMode="External"/><Relationship Id="rIdaw-hcy_hyivjlxudh9p2b" Type="http://schemas.openxmlformats.org/officeDocument/2006/relationships/hyperlink" Target="https://dalil.kg/document/800454" TargetMode="External"/><Relationship Id="rIdn5xz4tv7ofyov_raqckn3" Type="http://schemas.openxmlformats.org/officeDocument/2006/relationships/hyperlink" Target="https://dalil.kg/document/112346" TargetMode="External"/><Relationship Id="rIdk4mn1u70urcm2anecot-f" Type="http://schemas.openxmlformats.org/officeDocument/2006/relationships/hyperlink" Target="https://dalil.kg/document/112346"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co1fevbqm0vfyes452lo" Type="http://schemas.openxmlformats.org/officeDocument/2006/relationships/hyperlink" Target="https://dalil.kg/document/230045676" TargetMode="External"/><Relationship Id="rIdtg4k8xvro3rirusbymd5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2026-09-26T13:54:49.252Z</dcterms:created>
  <dcterms:modified xsi:type="dcterms:W3CDTF">2026-09-26T13:54:49.252Z</dcterms:modified>
</cp:coreProperties>
</file>

<file path=docProps/custom.xml><?xml version="1.0" encoding="utf-8"?>
<Properties xmlns="http://schemas.openxmlformats.org/officeDocument/2006/custom-properties" xmlns:vt="http://schemas.openxmlformats.org/officeDocument/2006/docPropsVTypes"/>
</file>