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13 мая 2026 года № 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Кыргызский Республики "О конфликте интересов"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5gmzhbkgzsrkib5xx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(Ведомости Жогорку Кенеша Кыргызской Республики, 2017 г., № 12, ст.1022)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аффилированное лицо - физическое или юридическое лицо, которое прямо или косвенно может оказывать влияние на принятие решения другим лицом, в том числе в силу заключенной сделки (договора), владения долей (акциями) в уставном капитале юридического лица, нахождения в зависимости либо под контролем другого физического или юридического лица, связанного с финансовыми или иными обязательствами, нахождения в близком родстве с членами семьи или в свойстве, а также иными лицами, находящимися на иждивении либо на полном попечении;";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уполномоченные государственные органы, определяемые Кабинетом Министров Кыргызской Республики (один из которых осуществляет функции по координации и мониторингу реализации настоящего Закона);";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, пункте 8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Верификация деклараций о личных (частных) интересах осуществляется службой управления персоналом государственного органа, органа местного самоуправления, учреждения, организации или предприятия.";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8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9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28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28</w:t>
      </w:r>
      <w:r>
        <w:rPr>
          <w:rFonts w:ascii="Arial" w:cs="Arial" w:eastAsia="Arial" w:hAnsi="Arial"/>
          <w:sz w:val="24"/>
          <w:szCs w:val="24"/>
        </w:rPr>
        <w:t xml:space="preserve">. Ответственность лиц, на которых распространяется настоящий Закон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недостоверности сведений, указанных в декларации о личных (частных) интересах, лица, на которых распространяется настоящий Закон, несут дисциплинарную ответственность в соответствии с законодательством о государственной гражданской службе и муниципальной службе и трудовым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Непринятие мер руководителем государственного органа, органа местного самоуправления, учреждения, организации или предприятия, за исключением Акыйкатчы (Омбудсмена) Кыргызской Республики, в случае обращения служащего, находящегося в его непосредственном подчинении, по вопросу урегулирования конфликта интересов является основанием для привлечения его к дисциплинарному взысканию, вплоть до освобождения от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и имущественные блага, приобретенные лицами, на которых распространяется настоящий Закон, в нарушение установленных настоящим Законом ограничений и запретов, считаются причиненным государству ущербом и должны быть возмещены государству.".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апреля 2026 года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gmzhbkgzsrkib5xxper" Type="http://schemas.openxmlformats.org/officeDocument/2006/relationships/hyperlink" Target="http://kodeks.duckdns.org/document/111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2026-09-23T03:45:02.463Z</dcterms:created>
  <dcterms:modified xsi:type="dcterms:W3CDTF">2026-09-23T03:45:02.463Z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