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2026 года 334-т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</w:t>
      </w:r>
      <w:r>
        <w:rPr>
          <w:rFonts w:ascii="Arial" w:cs="Arial" w:eastAsia="Arial" w:hAnsi="Arial"/>
          <w:sz w:val="24"/>
          <w:szCs w:val="24"/>
        </w:rPr>
        <w:t xml:space="preserve">реализации государственной политики в сфере миграции, обеспечения эффективной деятельности по реинтеграции возвращающихся мигрантов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в соответствии с</w:t>
      </w:r>
      <w:r>
        <w:rPr>
          <w:rFonts w:ascii="Arial" w:cs="Arial" w:eastAsia="Arial" w:hAnsi="Arial"/>
          <w:sz w:val="24"/>
          <w:szCs w:val="24"/>
        </w:rPr>
        <w:t xml:space="preserve">пунктом</w:t>
      </w:r>
      <w:r>
        <w:rPr>
          <w:rFonts w:ascii="Arial" w:cs="Arial" w:eastAsia="Arial" w:hAnsi="Arial"/>
          <w:sz w:val="24"/>
          <w:szCs w:val="24"/>
        </w:rPr>
        <w:t xml:space="preserve"> 9.1 </w:t>
      </w:r>
      <w:r>
        <w:rPr>
          <w:rFonts w:ascii="Arial" w:cs="Arial" w:eastAsia="Arial" w:hAnsi="Arial"/>
          <w:sz w:val="24"/>
          <w:szCs w:val="24"/>
        </w:rPr>
        <w:t xml:space="preserve">раздела</w:t>
      </w:r>
      <w:r>
        <w:rPr>
          <w:rFonts w:ascii="Arial" w:cs="Arial" w:eastAsia="Arial" w:hAnsi="Arial"/>
          <w:sz w:val="24"/>
          <w:szCs w:val="24"/>
        </w:rPr>
        <w:t xml:space="preserve">IX</w:t>
      </w:r>
      <w:r>
        <w:rPr>
          <w:rFonts w:ascii="Arial" w:cs="Arial" w:eastAsia="Arial" w:hAnsi="Arial"/>
          <w:sz w:val="24"/>
          <w:szCs w:val="24"/>
        </w:rPr>
        <w:t xml:space="preserve">Национальной программы</w:t>
      </w:r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2030 года, утвержденной </w:t>
      </w:r>
      <w:hyperlink w:history="1" r:id="rId4yvibdmn4dvvm7hcopz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Национальной программе развития Кыргызской Республики до 2030 года» от 5 июня 2025 года № 178,</w:t>
      </w:r>
      <w:r>
        <w:rPr>
          <w:rFonts w:ascii="Arial" w:cs="Arial" w:eastAsia="Arial" w:hAnsi="Arial"/>
          <w:sz w:val="24"/>
          <w:szCs w:val="24"/>
        </w:rPr>
        <w:t xml:space="preserve"> статьями </w:t>
      </w:r>
      <w:hyperlink w:history="1" r:id="rIdlbixpmxwp1tgtgtcz6v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wptjp5jicbec0n82no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внешней миграции», 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hyperlink w:history="1" r:id="rIdzavrmj2cvxfgxv-apy2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hratd3x7w8jzhlgkgbz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Программу реинтеграции возвращающихся мигрантов на 2026–2030 годы</w:t>
      </w:r>
      <w:r>
        <w:rPr>
          <w:rFonts w:ascii="Arial" w:cs="Arial" w:eastAsia="Arial" w:hAnsi="Arial"/>
          <w:sz w:val="24"/>
          <w:szCs w:val="24"/>
        </w:rPr>
        <w:t xml:space="preserve"> согласно </w:t>
      </w:r>
      <w:hyperlink w:history="1" r:id="rIdgthmp0tabuqdro7om_t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 мероприятий </w:t>
      </w:r>
      <w:r>
        <w:rPr>
          <w:rFonts w:ascii="Arial" w:cs="Arial" w:eastAsia="Arial" w:hAnsi="Arial"/>
          <w:sz w:val="24"/>
          <w:szCs w:val="24"/>
        </w:rPr>
        <w:t xml:space="preserve">по реализации Программы реинтеграции возвращающихся мигрантов на 2026–2030 годы </w:t>
      </w:r>
      <w:r>
        <w:rPr>
          <w:rFonts w:ascii="Arial" w:cs="Arial" w:eastAsia="Arial" w:hAnsi="Arial"/>
          <w:sz w:val="24"/>
          <w:szCs w:val="24"/>
        </w:rPr>
        <w:t xml:space="preserve">(далее – План мероприятий) согласно </w:t>
      </w:r>
      <w:hyperlink w:history="1" r:id="rId64ge5f6obxm3jnhxhz6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атрицу индикаторов мониторинга и оценки реализации Плана мероприятий согласно </w:t>
      </w:r>
      <w:hyperlink w:history="1" r:id="rIditkp_ptze6wjujkb3zp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бюджет</w:t>
      </w:r>
      <w:r>
        <w:rPr>
          <w:rFonts w:ascii="Arial" w:cs="Arial" w:eastAsia="Arial" w:hAnsi="Arial"/>
          <w:sz w:val="24"/>
          <w:szCs w:val="24"/>
        </w:rPr>
        <w:t xml:space="preserve"> Программы реинтеграции возвращающихся мигрантов на 2026–2030 годы</w:t>
      </w:r>
      <w:r>
        <w:rPr>
          <w:rFonts w:ascii="Arial" w:cs="Arial" w:eastAsia="Arial" w:hAnsi="Arial"/>
          <w:sz w:val="24"/>
          <w:szCs w:val="24"/>
        </w:rPr>
        <w:t xml:space="preserve"> согласно </w:t>
      </w:r>
      <w:hyperlink w:history="1" r:id="rIdfdxx8vk44wjn3xxafvg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Государственным органам и органам местного самоуправления Кыргызской Республики (по согласованию), задействованным в реализации Плана мероприятий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исчерпывающие меры по неукоснительному исполнению Плана </w:t>
      </w:r>
      <w:r>
        <w:rPr>
          <w:rFonts w:ascii="Arial" w:cs="Arial" w:eastAsia="Arial" w:hAnsi="Arial"/>
          <w:sz w:val="24"/>
          <w:szCs w:val="24"/>
        </w:rPr>
        <w:t xml:space="preserve">мероприятий</w:t>
      </w:r>
      <w:r>
        <w:rPr>
          <w:rFonts w:ascii="Arial" w:cs="Arial" w:eastAsia="Arial" w:hAnsi="Arial"/>
          <w:sz w:val="24"/>
          <w:szCs w:val="24"/>
        </w:rPr>
        <w:t xml:space="preserve"> в установленные сроки;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реализацию Плана мероприятий</w:t>
      </w:r>
      <w:r>
        <w:rPr>
          <w:rFonts w:ascii="Arial" w:cs="Arial" w:eastAsia="Arial" w:hAnsi="Arial"/>
          <w:sz w:val="24"/>
          <w:szCs w:val="24"/>
        </w:rPr>
        <w:t xml:space="preserve"> производить в рамках утвержденных бюджетов на соответствующий год, а также других источников, не запрещенных законодательством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ежегодно по итогам года не позднее 20 числа месяца, следующего за отчетным периодом, представлять информацию о ходе реализации Плана мероприятий в Министерство труда, социального обеспечения и миграции Кыргызской </w:t>
      </w:r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труда, социального обеспечения и миграции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осуществлять общую координацию работы по реализации Плана мероприятий;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ежегодно публиковать информацию об исполнении Плана мероприятий</w:t>
      </w:r>
      <w:r>
        <w:rPr>
          <w:rFonts w:ascii="Arial" w:cs="Arial" w:eastAsia="Arial" w:hAnsi="Arial"/>
          <w:sz w:val="24"/>
          <w:szCs w:val="24"/>
        </w:rPr>
        <w:t xml:space="preserve">в средствах массовой информации;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по итогам года, не позднее 30 числа месяца,</w:t>
      </w:r>
      <w:r>
        <w:rPr>
          <w:rFonts w:ascii="Arial" w:cs="Arial" w:eastAsia="Arial" w:hAnsi="Arial"/>
          <w:sz w:val="24"/>
          <w:szCs w:val="24"/>
        </w:rPr>
        <w:t xml:space="preserve"> следующего за отчетным периодом,</w:t>
      </w:r>
      <w:r>
        <w:rPr>
          <w:rFonts w:ascii="Arial" w:cs="Arial" w:eastAsia="Arial" w:hAnsi="Arial"/>
          <w:sz w:val="24"/>
          <w:szCs w:val="24"/>
        </w:rPr>
        <w:t xml:space="preserve"> представлять в Администрацию Президента Кыргызской Республики обобщенную информацию о ходе выполнения Плана мероприятий.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hmd2pafx5xgrrxibk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dalil.kg/document/230045936</w:t>
      </w:r>
    </w:hyperlink>
  </w:p>
  <w:p>
    <w:pPr>
      <w:spacing w:after="0" w:before="40"/>
      <w:jc w:val="center"/>
    </w:pPr>
    <w:hyperlink w:history="1" r:id="rIdo1c42_vcmcq1xbviquk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yvibdmn4dvvm7hcopzyp" Type="http://schemas.openxmlformats.org/officeDocument/2006/relationships/hyperlink" Target="https://dalil.kg/document/230027834" TargetMode="External"/><Relationship Id="rIdlbixpmxwp1tgtgtcz6vda" Type="http://schemas.openxmlformats.org/officeDocument/2006/relationships/hyperlink" Target="https://dalil.kg/document/350#st_4" TargetMode="External"/><Relationship Id="rIdmwptjp5jicbec0n82nox6" Type="http://schemas.openxmlformats.org/officeDocument/2006/relationships/hyperlink" Target="https://dalil.kg/document/350#st_39" TargetMode="External"/><Relationship Id="rIdzavrmj2cvxfgxv-apy2td" Type="http://schemas.openxmlformats.org/officeDocument/2006/relationships/hyperlink" Target="https://dalil.kg/document/112301#st_13" TargetMode="External"/><Relationship Id="rIdhratd3x7w8jzhlgkgbzpa" Type="http://schemas.openxmlformats.org/officeDocument/2006/relationships/hyperlink" Target="https://dalil.kg/document/112301#st_17" TargetMode="External"/><Relationship Id="rIdgthmp0tabuqdro7om_t2i" Type="http://schemas.openxmlformats.org/officeDocument/2006/relationships/hyperlink" Target="https://dalil.kg/document/230045961" TargetMode="External"/><Relationship Id="rId64ge5f6obxm3jnhxhz6i7" Type="http://schemas.openxmlformats.org/officeDocument/2006/relationships/hyperlink" Target="https://dalil.kg/document/230045960" TargetMode="External"/><Relationship Id="rIditkp_ptze6wjujkb3zprq" Type="http://schemas.openxmlformats.org/officeDocument/2006/relationships/hyperlink" Target="https://dalil.kg/document/230045959" TargetMode="External"/><Relationship Id="rIdfdxx8vk44wjn3xxafvgzb" Type="http://schemas.openxmlformats.org/officeDocument/2006/relationships/hyperlink" Target="https://dalil.kg/document/23004595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hmd2pafx5xgrrxibk5q" Type="http://schemas.openxmlformats.org/officeDocument/2006/relationships/hyperlink" Target="https://dalil.kg/document/230045936" TargetMode="External"/><Relationship Id="rIdo1c42_vcmcq1xbviquk_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2026-09-26T06:40:19.504Z</dcterms:created>
  <dcterms:modified xsi:type="dcterms:W3CDTF">2026-09-26T06:40:19.504Z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