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317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dwupjbs-8r1ijriiq45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hcdqjalu7_wkcci2i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w4yrqou15t2iyix4q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проекту Закона Кыргызской Республики «О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посевов», инициированному депутатом Жогорку Кенеша Кыргызской Республики Д.Д. Бекешевым.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17 апреля 2026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проекту Закона Кыргызской Республики "О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посевов" (далее - проект Закона), инициированный депутатом Жогорку Кенеша Кыргызской Республики Д.Д.Бекешевым, приходит к следующему заключению.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указанный проект Закона разработан в целях пресечения бесконтрольного выпаса скота и создания работающего механизма возмещения ущерба пострадавшим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"а" пункта 1 статьи 1 проекта Закона предлагается установить, что штраф может полностью или частично взыскиваться в доход республиканского или местного бюджета, а также в пользу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части 4 </w:t>
      </w:r>
      <w:hyperlink w:history="1" r:id="rIdd-armjl0-pbky-lejwr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суммы взысканных штрафов, в том числе наложенных уполномоченными государственными органами, перечисляются в республиканский и местные бюджеты.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1 </w:t>
      </w:r>
      <w:hyperlink w:history="1" r:id="rId3xab2wpijuuj_jd8qhn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штраф является денежным взысканием в доход государства, налагаемым судом, уполномоченным органом на лицо, виновное в совершении правонарушения.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предлагаемое проектом Закона дополнение к части 1 </w:t>
      </w:r>
      <w:hyperlink w:history="1" r:id="rIdbokczzplg-5tyfallz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приведет к внутренним противоречиям в данном Кодексе.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в целях исключения коллизий предлагаем в тексте проекта Закона исключить положения, регламентирующие денежные взыскания в пользу физических и юридических лиц, либо пересмотреть данные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отмечаем, что вопросы определения порядка казначейского исполнения, учета, а также прямого перечисления средств для реализации указанного механизма распределения средств, полученных от штрафов и продажи задержанных сельскохозяйственных животных, в республиканский или местный бюджет и потерпевшему в полной мере не изложены. Это, в свою очередь, требует введения дополнительных административных и финансовых механизмов в практику исполнения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"в" пункта 1 проекта Закона предлагается дополнить </w:t>
      </w:r>
      <w:hyperlink w:history="1" r:id="rIdbyvjaa5srctu9brzkb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частью 8, согласно которой при совершении правонарушений, указанных в </w:t>
      </w:r>
      <w:hyperlink w:history="1" r:id="rIdvht_bhta6wkzsuip5x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уплата штрафа является обязательным условием возврата задержанных сельскохозяйственных животных их владельцам.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штрафу, предусмотренному частью 1 </w:t>
      </w:r>
      <w:hyperlink w:history="1" r:id="rIdxovdt01f_qbsvisgq36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добавляется штраф за каждую голову животного, задержанного в момент совершения правонарушения: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крупный рогатый скот, лошадей, верблюдов - 10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мелкий рогатый скот (овцы, козы) и свиней - 5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требованиями </w:t>
      </w:r>
      <w:hyperlink w:history="1" r:id="rIdhphbagspqqd1imjvexf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лицо, совершившее правонарушение и подлежащее ответственности, обязано возместить причиненный вред.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лица, совершившего правонарушение, от добровольного возмещения причиненного вреда его возмещение осуществляется в порядке гражданского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правонарушение, обязано устранить выявленные нарушения, явившиеся основанием для привлечения его к ответственности. Следует отметить, что наложение взыскания и его исполнение не освобождает лицо от обязанности устранить указанные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поскольку </w:t>
      </w:r>
      <w:hyperlink w:history="1" r:id="rIdmarqrcozjkvgicp7e0p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определяет общие положения о штрафах в рамках данного Кодекса, полагаем нецелесообразным дополнение указанной статьи Кодекса положениями о дополнительных штрафах, предусмотренных </w:t>
      </w:r>
      <w:hyperlink w:history="1" r:id="rId7uoyg5ovz3ihhxbbvjx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учитывая вышеуказанные нормы </w:t>
      </w:r>
      <w:hyperlink w:history="1" r:id="rIdmqu1lfegifr6jra-9k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предлагаем пересмотреть положения подпункта "в" пункта 1 статьи 1 проекта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 проекта Закона </w:t>
      </w:r>
      <w:hyperlink w:history="1" r:id="rIdhchyu6jek9-srjunpa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предлагается изложить в новой редакции.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 часть 1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238</w:t>
      </w:r>
      <w:r>
        <w:rPr>
          <w:rFonts w:ascii="Arial" w:cs="Arial" w:eastAsia="Arial" w:hAnsi="Arial"/>
          <w:sz w:val="24"/>
          <w:szCs w:val="24"/>
        </w:rPr>
        <w:t xml:space="preserve"> указанного Кодекса будет применяться в случаях, когда ущерб (потрава посевов, порча или уничтожение находящегося в поле собранного урожая сельскохозяйственных культур, повреждение насаждений) причинен действиями сельскохозяйственных животных, при этом размеры штрафов значительно выше (300 расчетных показателей для физических лиц и 700 расчетных показателей для юридических лиц) в сравнении с частью 2 предлагаемой </w:t>
      </w:r>
      <w:hyperlink w:history="1" r:id="rIdrgjb7nzm2vtdpistoj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частью 2 предлагаемой </w:t>
      </w:r>
      <w:hyperlink w:history="1" r:id="rIdh4qof8c2qgc1i6qhsyp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за порчу, уничтожение урожая или насаждений, совершенные иным способом, если нет признаков уголовно наказуемого деяния, предлагается существенно снизить штрафы, определив их в размере 55 расчетных показателей для физических лиц и 170 расчетных показателей для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вышеуказанные положения, по нашему мнению отсутствуют основания, аргументирующие утверждение, что правонарушения, указанные в части 2 предлагаемой статьи 238 Кодекса, наносят меньший вред обществу. Обусловлено это тем, что термин "другим способом" охватывает широкий спектр действий и потенциально может нанести больший ущерб, чем затаптывание сельскохозяйственными животными, которое часто носит характер неосторожности.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предлагаемые санкции (штрафы) не соответствуют принципам справедливости и индивидуализации наказания, поскольку за действие, которое является неопределенным и потенциально гораздо более опасным, предусмотрен значительно меньший штраф.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следует отметить, что в справке-обосновании к проекту Закона отсутствует анализ текущей ситуации, статистические данные о количестве нарушений, их отрицательных последствиях, а также механизм и критерии, на основании которых были определены предлагаемые размеры штрафов за нарушение указанных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1 проекта Закона органам местного самоуправления предлагается предоставить право выносить в упрощенном порядке постановление о наложении штрафа за правонарушения, предусмотренные </w:t>
      </w:r>
      <w:hyperlink w:history="1" r:id="rIdwe8giw-dtgzlmshwon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на основании материалов фото- и видеофиксации, показаний свидетелей, если личность владельца животного установлена по базам данных идентификации животных без обязательного участия владельца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процедура установления владельца животных по Единому государственному реестру идентифицированных животных (далее - ЕГРИЖ) не доказывает его вину, поскольку необходимо доказать наличие причинно-следственной связи между причиненным ущербом и действиями (или бездействием) владельца.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пункта 23 </w:t>
      </w:r>
      <w:hyperlink w:history="1" r:id="rIdfualzouvwzdbrgdnpqh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</w:t>
      </w:r>
      <w:hyperlink w:history="1" r:id="rIdjt8pzyhp_ofi1tmi9n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идентификации животных и продуктов животного происхождения" от 3 марта 2025 года № 105, в случае убоя, смерти, потери, кражи животного или смены владельца животного владелец или ответственное лицо обязаны в течение 5 рабочих дней письменно уведомить об этом орган ветеринарии. Данная информация вносится в ЕГРИЖ в течение 7 календарных дней. В случае смены владельца хозяйства или закрытия хозяйства подается официальное уведомление для внесения изменений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учитывая, как отмечалось выше, что владелец животного обязан своевременно уведомлять уполномоченный орган об изменениях, данные, содержащиеся в информационной системе идентификации сельскохозяйственных животных, могут не всегда отражать фактическую ситуацию на момент совершения правонарушения, поскольку соответствующие изменения могли быть не внесены в ЕГРИЖ своевременно.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такие данные лишь подтверждают, что животное зарегистрировано на конкретного человека, и не являются неоспоримым доказательством его вины в совершении конкретного правонарушения.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обращаем внимание на </w:t>
      </w:r>
      <w:hyperlink w:history="1" r:id="rIdkpyxxdn1fap8xe2bbj9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согласно которой лицо, привлекаемое к ответственности за совершение правонарушения, имеет право,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органа разъяснения о порядке производства о правонарушении, реализации своих прав и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проинформированным о дате, времени и месте рассмотрения дела о правонарушении в порядке, установленном указанным Кодексом;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рассмотрении дела о правонарушении лично или через представителя в порядке, установленном указанным Кодексом;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в установленном порядке с материалами дела о правонарушении, выписывать сведения, снимать копии с документов, получать информацию о процедурных действиях и принятых решениях;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доказательства либо показания в письменной, устной или другой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каждому гарантируется судебная защита его прав и свобод. Каждый вправе защищать свои права и свободы всеми доступными способами, не запрещенными законом, а также добиваться восстановления нарушенных прав.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введение органами местного самоуправления упрощенного порядка применения мер наказания без четких процессуальных гарантий может привести к нарушению принципов презумпции невиновности, состязательности и обеспечения права на защиту.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вносятся изменения, в том числе в </w:t>
      </w:r>
      <w:r>
        <w:rPr>
          <w:rFonts w:ascii="Arial" w:cs="Arial" w:eastAsia="Arial" w:hAnsi="Arial"/>
          <w:sz w:val="24"/>
          <w:szCs w:val="24"/>
        </w:rPr>
        <w:t xml:space="preserve">статью 263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и предлагается определить, что в случае задержания сельскохозяйственных животных по основаниям, указанным в части 4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данного Кодекса, если по истечении установленных сроков владелец не объявился или отказался от уплаты штрафа, право собственности на животное прекращается и переходит органу местного самоуправления. Животное подлежит реализации через специализированные скотные рынки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</w:t>
      </w:r>
      <w:hyperlink w:history="1" r:id="rIdyfkyaswmorkjrt6nak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соответствии с которым будут налагаться штрафы, предусматривает принудительное исполнение постановлений о наложении штрафа.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nbwxeg0kaazyagm0j0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собственность неприкосновенна. Никто не может быть произвольно лишен своего имущества. Право наследования гарантируется. Изъятие имущества помимо воли собственника допускается только по решению суда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редакцию подпункта "б" пункта 3 статьи 2 проекта Закона необходимо пересмотреть.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представленном проекте Закона предусмотрены положения, направленные на осуществление органами местного самоуправления работ по организации пунктов временного содержания сельскохозяйственных животных, их содержанию, оценке и продаже через скотные рынки. Эти мероприятия могут потребовать создания соответствующей инфраструктуры и организационных расходов. При этом источник и объем таких расходов в проекте Закона и справке-обосновании четко не указаны.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в представленном проекте Закона недостаточно обоснованы требования бюджетного законодательства, механизмы учета и распределения бюджетных доходов и источники покрытия дополнительных расходов, которые могут возникнуть при реализации проекта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необходимым доработать проект Закона Кыргызской Республики "О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посевов" с учетом представленных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pujpvpvnkudp0nosi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dalil.kg/document/230046014</w:t>
      </w:r>
    </w:hyperlink>
  </w:p>
  <w:p>
    <w:pPr>
      <w:spacing w:after="0" w:before="40"/>
      <w:jc w:val="center"/>
    </w:pPr>
    <w:hyperlink w:history="1" r:id="rIdlkw4jli7itop3egnih_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upjbs-8r1ijriiq45yl" Type="http://schemas.openxmlformats.org/officeDocument/2006/relationships/hyperlink" Target="https://dalil.kg/document/112301#st_18" TargetMode="External"/><Relationship Id="rIdxhcdqjalu7_wkcci2izbd" Type="http://schemas.openxmlformats.org/officeDocument/2006/relationships/hyperlink" Target="https://dalil.kg/document/112301#st_27" TargetMode="External"/><Relationship Id="rIdtw4yrqou15t2iyix4qbs7" Type="http://schemas.openxmlformats.org/officeDocument/2006/relationships/hyperlink" Target="https://dalil.kg/document/230046014#pr" TargetMode="External"/><Relationship Id="rIdd-armjl0-pbky-lejwrg6" Type="http://schemas.openxmlformats.org/officeDocument/2006/relationships/hyperlink" Target="https://dalil.kg/document/112306#st_563" TargetMode="External"/><Relationship Id="rId3xab2wpijuuj_jd8qhnkr" Type="http://schemas.openxmlformats.org/officeDocument/2006/relationships/hyperlink" Target="https://dalil.kg/document/112306#st_31" TargetMode="External"/><Relationship Id="rIdbokczzplg-5tyfallzlmz" Type="http://schemas.openxmlformats.org/officeDocument/2006/relationships/hyperlink" Target="https://dalil.kg/document/112306#st_31" TargetMode="External"/><Relationship Id="rIdbyvjaa5srctu9brzkbnq8" Type="http://schemas.openxmlformats.org/officeDocument/2006/relationships/hyperlink" Target="https://dalil.kg/document/112306#st_31" TargetMode="External"/><Relationship Id="rIdvht_bhta6wkzsuip5xhgq" Type="http://schemas.openxmlformats.org/officeDocument/2006/relationships/hyperlink" Target="https://dalil.kg/document/112306#st_238" TargetMode="External"/><Relationship Id="rIdxovdt01f_qbsvisgq36h8" Type="http://schemas.openxmlformats.org/officeDocument/2006/relationships/hyperlink" Target="https://dalil.kg/document/112306#st_238" TargetMode="External"/><Relationship Id="rIdhphbagspqqd1imjvexf1q" Type="http://schemas.openxmlformats.org/officeDocument/2006/relationships/hyperlink" Target="https://dalil.kg/document/112306#st_53" TargetMode="External"/><Relationship Id="rIdmarqrcozjkvgicp7e0p0j" Type="http://schemas.openxmlformats.org/officeDocument/2006/relationships/hyperlink" Target="https://dalil.kg/document/112306#st_31" TargetMode="External"/><Relationship Id="rId7uoyg5ovz3ihhxbbvjxxm" Type="http://schemas.openxmlformats.org/officeDocument/2006/relationships/hyperlink" Target="https://dalil.kg/document/112306#st_238" TargetMode="External"/><Relationship Id="rIdmqu1lfegifr6jra-9kizq" Type="http://schemas.openxmlformats.org/officeDocument/2006/relationships/hyperlink" Target="https://dalil.kg/document/112306" TargetMode="External"/><Relationship Id="rIdhchyu6jek9-srjunpaxdo" Type="http://schemas.openxmlformats.org/officeDocument/2006/relationships/hyperlink" Target="https://dalil.kg/document/112306#st_238" TargetMode="External"/><Relationship Id="rIdrgjb7nzm2vtdpistoj8jt" Type="http://schemas.openxmlformats.org/officeDocument/2006/relationships/hyperlink" Target="https://dalil.kg/document/112306#st_238" TargetMode="External"/><Relationship Id="rIdh4qof8c2qgc1i6qhsyp_x" Type="http://schemas.openxmlformats.org/officeDocument/2006/relationships/hyperlink" Target="https://dalil.kg/document/112306#st_238" TargetMode="External"/><Relationship Id="rIdwe8giw-dtgzlmshwonlvz" Type="http://schemas.openxmlformats.org/officeDocument/2006/relationships/hyperlink" Target="https://dalil.kg/document/112306#st_238" TargetMode="External"/><Relationship Id="rIdfualzouvwzdbrgdnpqh6z" Type="http://schemas.openxmlformats.org/officeDocument/2006/relationships/hyperlink" Target="https://dalil.kg/document/230023542" TargetMode="External"/><Relationship Id="rIdjt8pzyhp_ofi1tmi9nozw" Type="http://schemas.openxmlformats.org/officeDocument/2006/relationships/hyperlink" Target="https://dalil.kg/document/230023535" TargetMode="External"/><Relationship Id="rIdkpyxxdn1fap8xe2bbj9jf" Type="http://schemas.openxmlformats.org/officeDocument/2006/relationships/hyperlink" Target="https://dalil.kg/document/112306#st_498" TargetMode="External"/><Relationship Id="rIdyfkyaswmorkjrt6nakykp" Type="http://schemas.openxmlformats.org/officeDocument/2006/relationships/hyperlink" Target="https://dalil.kg/document/112306" TargetMode="External"/><Relationship Id="rIdnbwxeg0kaazyagm0j0stw" Type="http://schemas.openxmlformats.org/officeDocument/2006/relationships/hyperlink" Target="https://dalil.kg/document/112213#st_1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pujpvpvnkudp0nosirt" Type="http://schemas.openxmlformats.org/officeDocument/2006/relationships/hyperlink" Target="https://dalil.kg/document/230046014" TargetMode="External"/><Relationship Id="rIdlkw4jli7itop3egnih_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2026-09-26T11:34:02.691Z</dcterms:created>
  <dcterms:modified xsi:type="dcterms:W3CDTF">2026-09-26T11:34:02.691Z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