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по отбору оператора (администратора) национальной системы маркировки и прослеживаемости маркированных товаров в Кыргызской Республике» от 11 мая 2020 года № 248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определения </w:t>
      </w:r>
      <w:r>
        <w:rPr>
          <w:rFonts w:ascii="Arial" w:cs="Arial" w:eastAsia="Arial" w:hAnsi="Arial"/>
          <w:sz w:val="24"/>
          <w:szCs w:val="24"/>
        </w:rPr>
        <w:t xml:space="preserve">оператора (администратора) национальной системы маркировки и прослеживаемости маркированных товаров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36gign6wswoiilpmr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lwyfp7fqhkunlf5vv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Республике» от 11 мая 2020 года № 248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_yadkykpad2s7wmym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Отбор национального оператора проводится межведомственной комиссией, состав которой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 проводится в случае, если государственный орган или организация с государственной долей собственности определена национальным оператором решением Кабинет Министров Кыргызской Республики по предложению уполномоченного налогового органа.»;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qmcq5fuusg8xhc-m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dalil.kg/document/230046103</w:t>
      </w:r>
    </w:hyperlink>
  </w:p>
  <w:p>
    <w:pPr>
      <w:spacing w:after="0" w:before="40"/>
      <w:jc w:val="center"/>
    </w:pPr>
    <w:hyperlink w:history="1" r:id="rIdwkk6qe8ndygy48b4ts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6gign6wswoiilpmrbfv" Type="http://schemas.openxmlformats.org/officeDocument/2006/relationships/hyperlink" Target="https://dalil.kg/document/157761" TargetMode="External"/><Relationship Id="rIdhlwyfp7fqhkunlf5vvddm" Type="http://schemas.openxmlformats.org/officeDocument/2006/relationships/hyperlink" Target="https://dalil.kg/document/157764" TargetMode="External"/><Relationship Id="rId5_yadkykpad2s7wmymlhe" Type="http://schemas.openxmlformats.org/officeDocument/2006/relationships/hyperlink" Target="https://dalil.kg/document/1577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qmcq5fuusg8xhc-mdkb" Type="http://schemas.openxmlformats.org/officeDocument/2006/relationships/hyperlink" Target="https://dalil.kg/document/230046103" TargetMode="External"/><Relationship Id="rIdwkk6qe8ndygy48b4tsb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2026-09-24T23:37:36.339Z</dcterms:created>
  <dcterms:modified xsi:type="dcterms:W3CDTF">2026-09-24T23:37:36.339Z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