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2026 года № 319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«Об условиях оплаты труда и штатной численности работников научных и научно-технических организаций» от 7 февраля 2025 года № 64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результативности и качества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научно-исследовательской деятельности</w:t>
      </w:r>
      <w:r>
        <w:rPr>
          <w:rFonts w:ascii="Arial" w:cs="Arial" w:eastAsia="Arial" w:hAnsi="Arial"/>
          <w:sz w:val="24"/>
          <w:szCs w:val="24"/>
        </w:rPr>
        <w:t xml:space="preserve">, материального стимулирования и создания условий для работников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научных организаций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в соответствии со статьями </w:t>
      </w:r>
      <w:hyperlink w:history="1" r:id="rIdjtwa4yfjlzrzckoxj49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xrhzhgooi_wjiomd8o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</w:t>
      </w:r>
      <w:hyperlink w:history="1" r:id="rIdkizjkc242whki2erobt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совершенствованию условий оплаты труда отдельных работников бюджетной сферы Кыргызской Республики» от 26 марта 2026 года № 121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a_7akahmrgzenjwsn7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условиях оплаты труда и штатной численности работников научных и научно-технических организаций» от 7 февраля 2025 года № 64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 президентскую компенсационную выплату к ставке (окладу):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размере 15000 сомов работникам, входящим в категорию административно-управленческого, основного персонала;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размере 5000 сомов работникам, входящим в категорию технического и младшего персонала.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Президентская компенсационная выплата не учитывается при расчетах отпускных, пособий и доплат к заработной плате, за проживание и работу в высокогорных и отдаленных зонах Кыргызской Республики, выплачивается за фактически отработанное время (исключаются командировочные, отпускные дни, дни временной нетрудоспособности, дни работы в выходные).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работник имеет нагрузку менее ставки, то президентская компенсационная выплата к заработной плате работника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научной </w:t>
      </w:r>
      <w:r>
        <w:rPr>
          <w:rFonts w:ascii="Arial" w:cs="Arial" w:eastAsia="Arial" w:hAnsi="Arial"/>
          <w:sz w:val="24"/>
          <w:szCs w:val="24"/>
        </w:rPr>
        <w:t xml:space="preserve">организации устанавливается пропорционально имеющейся нагрузке».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 разработке проекта </w:t>
      </w:r>
      <w:hyperlink w:history="1" r:id="rIdhvyjyo16c8b7mm-sbut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республиканском бюджете Кыргызской Республики на 2026 год и плановый период 2027-2028-годов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предусмотреть изменения, вытекающие из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апреля 2026 года.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30 апреля 2026 года № 34 (3794)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5flfo9zw6cioahozew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dalil.kg/document/230046194</w:t>
      </w:r>
    </w:hyperlink>
  </w:p>
  <w:p>
    <w:pPr>
      <w:spacing w:after="0" w:before="40"/>
      <w:jc w:val="center"/>
    </w:pPr>
    <w:hyperlink w:history="1" r:id="rIdxrdjfbgotvjtelnvmo-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wa4yfjlzrzckoxj49pt" Type="http://schemas.openxmlformats.org/officeDocument/2006/relationships/hyperlink" Target="https://dalil.kg/document/112301#st_13" TargetMode="External"/><Relationship Id="rId4xrhzhgooi_wjiomd8op0" Type="http://schemas.openxmlformats.org/officeDocument/2006/relationships/hyperlink" Target="https://dalil.kg/document/112301#st_17" TargetMode="External"/><Relationship Id="rIdkizjkc242whki2erobt9t" Type="http://schemas.openxmlformats.org/officeDocument/2006/relationships/hyperlink" Target="https://dalil.kg/document/230043758" TargetMode="External"/><Relationship Id="rIdqa_7akahmrgzenjwsn7wt" Type="http://schemas.openxmlformats.org/officeDocument/2006/relationships/hyperlink" Target="https://dalil.kg/document/230022064" TargetMode="External"/><Relationship Id="rIdhvyjyo16c8b7mm-sbuta3" Type="http://schemas.openxmlformats.org/officeDocument/2006/relationships/hyperlink" Target="https://dalil.kg/document/23004209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5flfo9zw6cioahozewoj" Type="http://schemas.openxmlformats.org/officeDocument/2006/relationships/hyperlink" Target="https://dalil.kg/document/230046194" TargetMode="External"/><Relationship Id="rIdxrdjfbgotvjtelnvmo-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2026-09-25T19:45:47.111Z</dcterms:created>
  <dcterms:modified xsi:type="dcterms:W3CDTF">2026-09-25T19:45:47.111Z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