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 АРХИТЕКТУРЫ И ЖИЛИЩНО-КОММУНАЛЬНОГО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2026 года № 109-нпа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проектирования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и строительства экспериментальных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проектов государственного значения</w:t>
      </w:r>
      <w:r>
        <w:rPr>
          <w:rFonts w:ascii="Arial" w:cs="Arial" w:eastAsia="Arial" w:hAnsi="Arial"/>
          <w:sz w:val="24"/>
          <w:szCs w:val="24"/>
        </w:rPr>
        <w:t xml:space="preserve">, на основании письма Государственного предприятия «Кыргызстройсервис» при Управлении делами Президента Кыргызской Республики от 3 декабря 2025 года № 01-9-2028,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r>
        <w:rPr>
          <w:rFonts w:ascii="Arial" w:cs="Arial" w:eastAsia="Arial" w:hAnsi="Arial"/>
          <w:sz w:val="24"/>
          <w:szCs w:val="24"/>
        </w:rPr>
        <w:t xml:space="preserve">Положением </w:t>
      </w:r>
      <w:r>
        <w:rPr>
          <w:rFonts w:ascii="Arial" w:cs="Arial" w:eastAsia="Arial" w:hAnsi="Arial"/>
          <w:sz w:val="24"/>
          <w:szCs w:val="24"/>
        </w:rPr>
        <w:t xml:space="preserve">«О Министерстве строительства, архитектуры и жилищно-коммунального хозяйства Кыргызской Республики»,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проектирование и строительство нижеследующих объектов экспериментальными с учетом применения зарубежных строительных норм, правил и стандартов: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Административное здание Государственной налоговой службы при Кабинете Министров Кыргызской Республики, в городе Бишкек, пр. Ч. Айтматова, 104а;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Административное здание Генеральной прокуратуры в городе Бишкек, пр. Ч. Айтматова 104 б/1;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Административное здание «Конгресс Холл» в городе Бишкек,          пр. Ч. Айтматова, 303/23а;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Футбольный стадион «Бишкек Арена» в городе Бишкек пр.                  А. Масалиева;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Гостиничный комплекс «Каракол» в городе Каракол, ул. Кучукова Иса;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 Гостиница «Хан-Тенири» в Иссык-Кульской области, село Тамчы;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Гостиница на территории Кыргызского государственного природного парка «Ала-Арча»;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Жилые дома на территории Государственного учреждения «Государственная резиденция Президента Кыргызской Республики № 1» при Управлении делами Президента Кыргызской Республики, расположенные по адресу: город Бишкек, улица 50 лет Победы, № 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архитектуры, Департаменту государственной экспертизы, Департаменту государственного архитектурно-строительного контроля в установленном порядке оказать содействие в получении градостроительного заключения, согласовании проекта, прохождении государственной экспертизы, а также во включении объектов в реестр строящихся объектов в соответствии с пунктом 1 настоящего приказа.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архитектуры, контроля и технического нормирования: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ei90bafw3foipaffz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dalil.kg/document/230046229</w:t>
      </w:r>
    </w:hyperlink>
  </w:p>
  <w:p>
    <w:pPr>
      <w:spacing w:after="0" w:before="40"/>
      <w:jc w:val="center"/>
    </w:pPr>
    <w:hyperlink w:history="1" r:id="rIdkvrkp-6glogp4k6k8q-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ei90bafw3foipaffzkq" Type="http://schemas.openxmlformats.org/officeDocument/2006/relationships/hyperlink" Target="https://dalil.kg/document/230046229" TargetMode="External"/><Relationship Id="rIdkvrkp-6glogp4k6k8q-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2026-09-27T04:09:50.203Z</dcterms:created>
  <dcterms:modified xsi:type="dcterms:W3CDTF">2026-09-27T04:09:50.203Z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