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11 мая 2026 года № 325</w:t>
      </w:r>
    </w:p>
    <w:p>
      <w:pPr>
        <w:spacing w:after="120"/>
        <w:jc w:val="both"/>
      </w:pPr>
      <w:r>
        <w:rPr>
          <w:rFonts w:ascii="Arial" w:cs="Arial" w:eastAsia="Arial" w:hAnsi="Arial"/>
          <w:sz w:val="28"/>
          <w:szCs w:val="28"/>
        </w:rPr>
        <w:t xml:space="preserve">О внесении изменений в постановление Кабинета Министров Кыргызской Республики «О медико-социальной экспертизе в Кыргызской Республике» от 8 апреля 2025 года № 185</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совершенствования нормативной правовой базы в области медико-социальной экспертизы и реализации мер социальной интеграции лиц с инвалидностью, в соответствии со статьями </w:t>
      </w:r>
      <w:hyperlink w:history="1" r:id="rIdalrbisv7krsfyzqqp5n1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a-ibxjkjef3vnhggxjov">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mwt4e1iedjgmyq6gxehk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медико-социальной экспертизе в Кыргызской Республике» от 8 апреля 2025 года № 185 следующие изменения:</w:t>
      </w:r>
    </w:p>
    <w:p>
      <w:pPr>
        <w:spacing w:after="120"/>
        <w:ind w:firstLine="567"/>
        <w:jc w:val="both"/>
      </w:pPr>
      <w:r>
        <w:rPr>
          <w:rFonts w:ascii="Arial" w:cs="Arial" w:eastAsia="Arial" w:hAnsi="Arial"/>
          <w:sz w:val="24"/>
          <w:szCs w:val="24"/>
        </w:rPr>
        <w:t xml:space="preserve">в </w:t>
      </w:r>
      <w:hyperlink w:history="1" r:id="rId_ulkyvpwn1cwihlfa8g6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признании гражданина лицом с инвалидностью, утвержденном вышеуказанным постановлением:</w:t>
      </w:r>
    </w:p>
    <w:p>
      <w:pPr>
        <w:spacing w:after="120"/>
        <w:ind w:firstLine="567"/>
        <w:jc w:val="both"/>
      </w:pPr>
      <w:r>
        <w:rPr>
          <w:rFonts w:ascii="Arial" w:cs="Arial" w:eastAsia="Arial" w:hAnsi="Arial"/>
          <w:sz w:val="24"/>
          <w:szCs w:val="24"/>
        </w:rPr>
        <w:t xml:space="preserve">– пункт 10 дополнить абзацем следующего содержания:</w:t>
      </w:r>
    </w:p>
    <w:p>
      <w:pPr>
        <w:spacing w:after="120"/>
        <w:ind w:firstLine="567"/>
        <w:jc w:val="both"/>
      </w:pPr>
      <w:r>
        <w:rPr>
          <w:rFonts w:ascii="Arial" w:cs="Arial" w:eastAsia="Arial" w:hAnsi="Arial"/>
          <w:sz w:val="24"/>
          <w:szCs w:val="24"/>
        </w:rPr>
        <w:t xml:space="preserve">«В случае освидетельствования ребенка, при котором до достижения ребенка возраста 18 лет остается неполный год (не более 6 месяцев), территориальной МСЭК предоставляется возможность формировать медицинский акт как для взрослого на основании направления на МСЭ (форма 088/у) ребенка.»;</w:t>
      </w:r>
    </w:p>
    <w:p>
      <w:pPr>
        <w:spacing w:after="120"/>
        <w:ind w:firstLine="567"/>
        <w:jc w:val="both"/>
      </w:pPr>
      <w:r>
        <w:rPr>
          <w:rFonts w:ascii="Arial" w:cs="Arial" w:eastAsia="Arial" w:hAnsi="Arial"/>
          <w:sz w:val="24"/>
          <w:szCs w:val="24"/>
        </w:rPr>
        <w:t xml:space="preserve">- в пункте 14 слово «электронной» заменить словом «цифровой»;</w:t>
      </w:r>
    </w:p>
    <w:p>
      <w:pPr>
        <w:spacing w:after="120"/>
        <w:ind w:firstLine="567"/>
        <w:jc w:val="both"/>
      </w:pPr>
      <w:r>
        <w:rPr>
          <w:rFonts w:ascii="Arial" w:cs="Arial" w:eastAsia="Arial" w:hAnsi="Arial"/>
          <w:sz w:val="24"/>
          <w:szCs w:val="24"/>
        </w:rPr>
        <w:t xml:space="preserve">- пункт 17 дополнить абзацем следующего содержания:</w:t>
      </w:r>
    </w:p>
    <w:p>
      <w:pPr>
        <w:spacing w:after="120"/>
        <w:ind w:firstLine="567"/>
        <w:jc w:val="both"/>
      </w:pPr>
      <w:r>
        <w:rPr>
          <w:rFonts w:ascii="Arial" w:cs="Arial" w:eastAsia="Arial" w:hAnsi="Arial"/>
          <w:sz w:val="24"/>
          <w:szCs w:val="24"/>
        </w:rPr>
        <w:t xml:space="preserve">«После регистрации направления освидетельствование гражданина/ребенка проводится в течение 5 рабочих дней.»;</w:t>
      </w:r>
    </w:p>
    <w:p>
      <w:pPr>
        <w:spacing w:after="120"/>
        <w:ind w:firstLine="567"/>
        <w:jc w:val="both"/>
      </w:pPr>
      <w:r>
        <w:rPr>
          <w:rFonts w:ascii="Arial" w:cs="Arial" w:eastAsia="Arial" w:hAnsi="Arial"/>
          <w:sz w:val="24"/>
          <w:szCs w:val="24"/>
        </w:rPr>
        <w:t xml:space="preserve">- пункт 28 дополнить подпунктом 3</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нотариально заверенная доверенность, выданная родителем или законным представителем, на представление интересов несовершеннолетнего ребенка в организациях здравоохранения и МСЭК при временном нахождении обоих родителей либо единственного родителя (законного представителя) за пределами Кыргызской Республики, при наличии подтверждающих документов (выезд за пределы Кыргызской Республики либо документы на осуществление трудовой деятельности за границей).</w:t>
      </w:r>
    </w:p>
    <w:p>
      <w:pPr>
        <w:spacing w:after="120"/>
        <w:ind w:firstLine="567"/>
        <w:jc w:val="both"/>
      </w:pPr>
      <w:r>
        <w:rPr>
          <w:rFonts w:ascii="Arial" w:cs="Arial" w:eastAsia="Arial" w:hAnsi="Arial"/>
          <w:sz w:val="24"/>
          <w:szCs w:val="24"/>
        </w:rPr>
        <w:t xml:space="preserve">Не требуется нотариально заверенная доверенность, если хотя бы один из родителей (законных представителей) находится на территории Кыргызской Республики;»; </w:t>
      </w:r>
    </w:p>
    <w:p>
      <w:pPr>
        <w:spacing w:after="120"/>
        <w:ind w:firstLine="567"/>
        <w:jc w:val="both"/>
      </w:pPr>
      <w:r>
        <w:rPr>
          <w:rFonts w:ascii="Arial" w:cs="Arial" w:eastAsia="Arial" w:hAnsi="Arial"/>
          <w:sz w:val="24"/>
          <w:szCs w:val="24"/>
        </w:rPr>
        <w:t xml:space="preserve">- пункт 33 изложить в следующей редакции:</w:t>
      </w:r>
    </w:p>
    <w:p>
      <w:pPr>
        <w:spacing w:after="120"/>
        <w:ind w:firstLine="567"/>
        <w:jc w:val="both"/>
      </w:pPr>
      <w:r>
        <w:rPr>
          <w:rFonts w:ascii="Arial" w:cs="Arial" w:eastAsia="Arial" w:hAnsi="Arial"/>
          <w:sz w:val="24"/>
          <w:szCs w:val="24"/>
        </w:rPr>
        <w:t xml:space="preserve">«33. Освидетельствование граждан, находящихся в местах отбывания наказания, проводится в порядке, установленном приложением 4 к настоящему Положению.»;</w:t>
      </w:r>
    </w:p>
    <w:p>
      <w:pPr>
        <w:spacing w:after="120"/>
        <w:ind w:firstLine="567"/>
        <w:jc w:val="both"/>
      </w:pPr>
      <w:r>
        <w:rPr>
          <w:rFonts w:ascii="Arial" w:cs="Arial" w:eastAsia="Arial" w:hAnsi="Arial"/>
          <w:sz w:val="24"/>
          <w:szCs w:val="24"/>
        </w:rPr>
        <w:t xml:space="preserve">- пункт 34 изложить в следующей редакции:</w:t>
      </w:r>
    </w:p>
    <w:p>
      <w:pPr>
        <w:spacing w:after="120"/>
        <w:ind w:firstLine="567"/>
        <w:jc w:val="both"/>
      </w:pPr>
      <w:r>
        <w:rPr>
          <w:rFonts w:ascii="Arial" w:cs="Arial" w:eastAsia="Arial" w:hAnsi="Arial"/>
          <w:sz w:val="24"/>
          <w:szCs w:val="24"/>
        </w:rPr>
        <w:t xml:space="preserve">«34. МСЭК проводит регистрацию данных граждан при освидетельствовании в информационной системе уполномоченного государственного органа в сфере труда, социального обеспечения и миграции.»; </w:t>
      </w:r>
    </w:p>
    <w:p>
      <w:pPr>
        <w:spacing w:after="120"/>
        <w:ind w:firstLine="567"/>
        <w:jc w:val="both"/>
      </w:pPr>
      <w:r>
        <w:rPr>
          <w:rFonts w:ascii="Arial" w:cs="Arial" w:eastAsia="Arial" w:hAnsi="Arial"/>
          <w:sz w:val="24"/>
          <w:szCs w:val="24"/>
        </w:rPr>
        <w:t xml:space="preserve">- пункт 41 изложить в следующей редакции:</w:t>
      </w:r>
    </w:p>
    <w:p>
      <w:pPr>
        <w:spacing w:after="120"/>
        <w:ind w:firstLine="567"/>
        <w:jc w:val="both"/>
      </w:pPr>
      <w:r>
        <w:rPr>
          <w:rFonts w:ascii="Arial" w:cs="Arial" w:eastAsia="Arial" w:hAnsi="Arial"/>
          <w:sz w:val="24"/>
          <w:szCs w:val="24"/>
        </w:rPr>
        <w:t xml:space="preserve">«41. МСЭ проводится МСЭК:</w:t>
      </w:r>
    </w:p>
    <w:p>
      <w:pPr>
        <w:spacing w:after="120"/>
        <w:ind w:firstLine="567"/>
        <w:jc w:val="both"/>
      </w:pPr>
      <w:r>
        <w:rPr>
          <w:rFonts w:ascii="Arial" w:cs="Arial" w:eastAsia="Arial" w:hAnsi="Arial"/>
          <w:sz w:val="24"/>
          <w:szCs w:val="24"/>
        </w:rPr>
        <w:t xml:space="preserve">1) при личном присутствии гражданина, в том числе с выездом на дом или в стационар, где гражданин находится на лечении;</w:t>
      </w:r>
    </w:p>
    <w:p>
      <w:pPr>
        <w:spacing w:after="120"/>
        <w:ind w:firstLine="567"/>
        <w:jc w:val="both"/>
      </w:pPr>
      <w:r>
        <w:rPr>
          <w:rFonts w:ascii="Arial" w:cs="Arial" w:eastAsia="Arial" w:hAnsi="Arial"/>
          <w:sz w:val="24"/>
          <w:szCs w:val="24"/>
        </w:rPr>
        <w:t xml:space="preserve">2) при повторной МСЭ возможно заочно, при которой решение о признании инвалидности принимается на основе медицинских документов без личного присутствия человека, с согласия гражданина (или его законного представителя), в случае затруднения в передвижении гражданина, нетранспортабельности, удаленности проживания или крайне тяжелом общем состоянии, препятствующем его транспортировке, то есть ограниченной мобильности, нахождения на лечении за рубежом, в том числе в странах ЕАЭС;</w:t>
      </w:r>
    </w:p>
    <w:p>
      <w:pPr>
        <w:spacing w:after="120"/>
        <w:ind w:firstLine="567"/>
        <w:jc w:val="both"/>
      </w:pPr>
      <w:r>
        <w:rPr>
          <w:rFonts w:ascii="Arial" w:cs="Arial" w:eastAsia="Arial" w:hAnsi="Arial"/>
          <w:sz w:val="24"/>
          <w:szCs w:val="24"/>
        </w:rPr>
        <w:t xml:space="preserve">3) при первичной или повторной МСЭ возможно дистанционно (онлайн) с применением информационно-коммуникационных технологий (с обязательной идентификацией гражданина) с согласия гражданина (или его законного представителя).</w:t>
      </w:r>
    </w:p>
    <w:p>
      <w:pPr>
        <w:spacing w:after="120"/>
        <w:ind w:firstLine="567"/>
        <w:jc w:val="both"/>
      </w:pPr>
      <w:r>
        <w:rPr>
          <w:rFonts w:ascii="Arial" w:cs="Arial" w:eastAsia="Arial" w:hAnsi="Arial"/>
          <w:sz w:val="24"/>
          <w:szCs w:val="24"/>
        </w:rPr>
        <w:t xml:space="preserve">Дистанционное освидетельствование проводится в случае, когда личное присутствие гражданина для принятия решения МСЭК по установлению инвалидности не требуется.</w:t>
      </w:r>
    </w:p>
    <w:p>
      <w:pPr>
        <w:spacing w:after="120"/>
        <w:ind w:firstLine="567"/>
        <w:jc w:val="both"/>
      </w:pPr>
      <w:r>
        <w:rPr>
          <w:rFonts w:ascii="Arial" w:cs="Arial" w:eastAsia="Arial" w:hAnsi="Arial"/>
          <w:sz w:val="24"/>
          <w:szCs w:val="24"/>
        </w:rPr>
        <w:t xml:space="preserve">Дистанционное освидетельствование проводится при заболеваниях и дефектах, имеющих необратимые морфологические изменения, приводящие к резко выраженному ограничению жизнедеятельности, при наличии медицинских документов, подтверждающих диагноз, тяжелую степень выраженности ограничений жизнедеятельности и клиническое состояние гражданина, указывающее на отсутствие положительной динамики заболевания и необходимости в проведении следующих дополнительных видов обследования:</w:t>
      </w:r>
    </w:p>
    <w:p>
      <w:pPr>
        <w:spacing w:after="120"/>
        <w:ind w:firstLine="567"/>
        <w:jc w:val="both"/>
      </w:pPr>
      <w:r>
        <w:rPr>
          <w:rFonts w:ascii="Arial" w:cs="Arial" w:eastAsia="Arial" w:hAnsi="Arial"/>
          <w:sz w:val="24"/>
          <w:szCs w:val="24"/>
        </w:rPr>
        <w:t xml:space="preserve">- стойкие необратимые нарушения функций организма (тяжелые врожденные аномалии, ДЦП, пороки развития, хронические заболевания в стабильно тяжелой форме);</w:t>
      </w:r>
    </w:p>
    <w:p>
      <w:pPr>
        <w:spacing w:after="120"/>
        <w:ind w:firstLine="567"/>
        <w:jc w:val="both"/>
      </w:pPr>
      <w:r>
        <w:rPr>
          <w:rFonts w:ascii="Arial" w:cs="Arial" w:eastAsia="Arial" w:hAnsi="Arial"/>
          <w:sz w:val="24"/>
          <w:szCs w:val="24"/>
        </w:rPr>
        <w:t xml:space="preserve">- генетические, хромосомные и врожденные заболевания с необратимыми нарушениями;</w:t>
      </w:r>
    </w:p>
    <w:p>
      <w:pPr>
        <w:spacing w:after="120"/>
        <w:ind w:firstLine="567"/>
        <w:jc w:val="both"/>
      </w:pPr>
      <w:r>
        <w:rPr>
          <w:rFonts w:ascii="Arial" w:cs="Arial" w:eastAsia="Arial" w:hAnsi="Arial"/>
          <w:sz w:val="24"/>
          <w:szCs w:val="24"/>
        </w:rPr>
        <w:t xml:space="preserve">- анатомические дефекты;</w:t>
      </w:r>
    </w:p>
    <w:p>
      <w:pPr>
        <w:spacing w:after="120"/>
        <w:ind w:firstLine="567"/>
        <w:jc w:val="both"/>
      </w:pPr>
      <w:r>
        <w:rPr>
          <w:rFonts w:ascii="Arial" w:cs="Arial" w:eastAsia="Arial" w:hAnsi="Arial"/>
          <w:sz w:val="24"/>
          <w:szCs w:val="24"/>
        </w:rPr>
        <w:t xml:space="preserve">- врожденные пороки сердца и крупных сосудов с выраженными нарушениями ритма и выраженной сердечной недостаточностью (необратимые изменения гемодинамики);</w:t>
      </w:r>
    </w:p>
    <w:p>
      <w:pPr>
        <w:spacing w:after="120"/>
        <w:ind w:firstLine="567"/>
        <w:jc w:val="both"/>
      </w:pPr>
      <w:r>
        <w:rPr>
          <w:rFonts w:ascii="Arial" w:cs="Arial" w:eastAsia="Arial" w:hAnsi="Arial"/>
          <w:sz w:val="24"/>
          <w:szCs w:val="24"/>
        </w:rPr>
        <w:t xml:space="preserve">- тяжелые формы хронической сердечной недостаточности III–IV функционального класса по NYHA, не поддающиеся коррекции;</w:t>
      </w:r>
    </w:p>
    <w:p>
      <w:pPr>
        <w:spacing w:after="120"/>
        <w:ind w:firstLine="567"/>
        <w:jc w:val="both"/>
      </w:pPr>
      <w:r>
        <w:rPr>
          <w:rFonts w:ascii="Arial" w:cs="Arial" w:eastAsia="Arial" w:hAnsi="Arial"/>
          <w:sz w:val="24"/>
          <w:szCs w:val="24"/>
        </w:rPr>
        <w:t xml:space="preserve">- тяжелые формы стойкой дыхательной недостаточности III степени и сердечной недостаточности СН–ФК IV степени;</w:t>
      </w:r>
    </w:p>
    <w:p>
      <w:pPr>
        <w:spacing w:after="120"/>
        <w:ind w:firstLine="567"/>
        <w:jc w:val="both"/>
      </w:pPr>
      <w:r>
        <w:rPr>
          <w:rFonts w:ascii="Arial" w:cs="Arial" w:eastAsia="Arial" w:hAnsi="Arial"/>
          <w:sz w:val="24"/>
          <w:szCs w:val="24"/>
        </w:rPr>
        <w:t xml:space="preserve">- хронические и врожденные заболевания центральной и периферической нервной системы со стойкими резко выраженными нарушениями функций;</w:t>
      </w:r>
    </w:p>
    <w:p>
      <w:pPr>
        <w:spacing w:after="120"/>
        <w:ind w:firstLine="567"/>
        <w:jc w:val="both"/>
      </w:pPr>
      <w:r>
        <w:rPr>
          <w:rFonts w:ascii="Arial" w:cs="Arial" w:eastAsia="Arial" w:hAnsi="Arial"/>
          <w:sz w:val="24"/>
          <w:szCs w:val="24"/>
        </w:rPr>
        <w:t xml:space="preserve">- онкологические заболевания на терминальных стадиях и состояния после радикального лечения с необратимыми анатомо-функциональными нарушениями (удаление гортани, мастэктомия с ограничением функции руки, колостома и др.);</w:t>
      </w:r>
    </w:p>
    <w:p>
      <w:pPr>
        <w:spacing w:after="120"/>
        <w:ind w:firstLine="567"/>
        <w:jc w:val="both"/>
      </w:pPr>
      <w:r>
        <w:rPr>
          <w:rFonts w:ascii="Arial" w:cs="Arial" w:eastAsia="Arial" w:hAnsi="Arial"/>
          <w:sz w:val="24"/>
          <w:szCs w:val="24"/>
        </w:rPr>
        <w:t xml:space="preserve">- заболевания опорно-двигательного аппарата с резко выраженными нарушениями функций;</w:t>
      </w:r>
    </w:p>
    <w:p>
      <w:pPr>
        <w:spacing w:after="120"/>
        <w:ind w:firstLine="567"/>
        <w:jc w:val="both"/>
      </w:pPr>
      <w:r>
        <w:rPr>
          <w:rFonts w:ascii="Arial" w:cs="Arial" w:eastAsia="Arial" w:hAnsi="Arial"/>
          <w:sz w:val="24"/>
          <w:szCs w:val="24"/>
        </w:rPr>
        <w:t xml:space="preserve">- необратимые нарушения зрения (полная или практически полная необратимая потеря зрения), не подлежащие восстановлению;</w:t>
      </w:r>
    </w:p>
    <w:p>
      <w:pPr>
        <w:spacing w:after="120"/>
        <w:ind w:firstLine="567"/>
        <w:jc w:val="both"/>
      </w:pPr>
      <w:r>
        <w:rPr>
          <w:rFonts w:ascii="Arial" w:cs="Arial" w:eastAsia="Arial" w:hAnsi="Arial"/>
          <w:sz w:val="24"/>
          <w:szCs w:val="24"/>
        </w:rPr>
        <w:t xml:space="preserve">- стойкая глухота и тугоухость IV степени;</w:t>
      </w:r>
    </w:p>
    <w:p>
      <w:pPr>
        <w:spacing w:after="120"/>
        <w:ind w:firstLine="567"/>
        <w:jc w:val="both"/>
      </w:pPr>
      <w:r>
        <w:rPr>
          <w:rFonts w:ascii="Arial" w:cs="Arial" w:eastAsia="Arial" w:hAnsi="Arial"/>
          <w:sz w:val="24"/>
          <w:szCs w:val="24"/>
        </w:rPr>
        <w:t xml:space="preserve">- тяжелые необратимые нарушения речи (в том числе после инсультов, врожденные аномалии и др.);</w:t>
      </w:r>
    </w:p>
    <w:p>
      <w:pPr>
        <w:spacing w:after="120"/>
        <w:ind w:firstLine="567"/>
        <w:jc w:val="both"/>
      </w:pPr>
      <w:r>
        <w:rPr>
          <w:rFonts w:ascii="Arial" w:cs="Arial" w:eastAsia="Arial" w:hAnsi="Arial"/>
          <w:sz w:val="24"/>
          <w:szCs w:val="24"/>
        </w:rPr>
        <w:t xml:space="preserve">- тяжелые формы системных заболеваний с резко выраженными ограничениями функций;</w:t>
      </w:r>
    </w:p>
    <w:p>
      <w:pPr>
        <w:spacing w:after="120"/>
        <w:ind w:firstLine="567"/>
        <w:jc w:val="both"/>
      </w:pPr>
      <w:r>
        <w:rPr>
          <w:rFonts w:ascii="Arial" w:cs="Arial" w:eastAsia="Arial" w:hAnsi="Arial"/>
          <w:sz w:val="24"/>
          <w:szCs w:val="24"/>
        </w:rPr>
        <w:t xml:space="preserve">- состояния после трансплантации органов при стабилизации состояния и выраженной функциональной недостаточности;</w:t>
      </w:r>
    </w:p>
    <w:p>
      <w:pPr>
        <w:spacing w:after="120"/>
        <w:ind w:firstLine="567"/>
        <w:jc w:val="both"/>
      </w:pPr>
      <w:r>
        <w:rPr>
          <w:rFonts w:ascii="Arial" w:cs="Arial" w:eastAsia="Arial" w:hAnsi="Arial"/>
          <w:sz w:val="24"/>
          <w:szCs w:val="24"/>
        </w:rPr>
        <w:t xml:space="preserve">- последствия тяжелых травм, ожогов и других оперативных вмешательств, если они привели к стойкой, необратимой утрате функций;</w:t>
      </w:r>
    </w:p>
    <w:p>
      <w:pPr>
        <w:spacing w:after="120"/>
        <w:ind w:firstLine="567"/>
        <w:jc w:val="both"/>
      </w:pPr>
      <w:r>
        <w:rPr>
          <w:rFonts w:ascii="Arial" w:cs="Arial" w:eastAsia="Arial" w:hAnsi="Arial"/>
          <w:sz w:val="24"/>
          <w:szCs w:val="24"/>
        </w:rPr>
        <w:t xml:space="preserve">- синдром Дауна, умственная отсталость, аутизм;</w:t>
      </w:r>
    </w:p>
    <w:p>
      <w:pPr>
        <w:spacing w:after="120"/>
        <w:ind w:firstLine="567"/>
        <w:jc w:val="both"/>
      </w:pPr>
      <w:r>
        <w:rPr>
          <w:rFonts w:ascii="Arial" w:cs="Arial" w:eastAsia="Arial" w:hAnsi="Arial"/>
          <w:sz w:val="24"/>
          <w:szCs w:val="24"/>
        </w:rPr>
        <w:t xml:space="preserve">- врожденные пороки и дефекты развития;</w:t>
      </w:r>
    </w:p>
    <w:p>
      <w:pPr>
        <w:spacing w:after="120"/>
        <w:ind w:firstLine="567"/>
        <w:jc w:val="both"/>
      </w:pPr>
      <w:r>
        <w:rPr>
          <w:rFonts w:ascii="Arial" w:cs="Arial" w:eastAsia="Arial" w:hAnsi="Arial"/>
          <w:sz w:val="24"/>
          <w:szCs w:val="24"/>
        </w:rPr>
        <w:t xml:space="preserve">- СПИД с развернутой картиной.</w:t>
      </w:r>
    </w:p>
    <w:p>
      <w:pPr>
        <w:spacing w:after="120"/>
        <w:ind w:firstLine="567"/>
        <w:jc w:val="both"/>
      </w:pPr>
      <w:r>
        <w:rPr>
          <w:rFonts w:ascii="Arial" w:cs="Arial" w:eastAsia="Arial" w:hAnsi="Arial"/>
          <w:sz w:val="24"/>
          <w:szCs w:val="24"/>
        </w:rPr>
        <w:t xml:space="preserve">Перечень заболеваний и состояний, указанных в настоящем пункте, является не окончательным и не ограничивает полномочия МСЭК в части проведения освидетельствования с непосредственным осмотром гражданина в зависимости от его клинического состояния. Решение о проведении дистанционного освидетельствования принимается МСЭК индивидуально в отношении каждого гражданина с учетом общего клинического состояния, прогноза заболевания, а также полноты и достаточности представленной медицинской документации и результатов проведенных обследований гражданина.»;</w:t>
      </w:r>
    </w:p>
    <w:p>
      <w:pPr>
        <w:spacing w:after="120"/>
        <w:ind w:firstLine="567"/>
        <w:jc w:val="both"/>
      </w:pPr>
      <w:r>
        <w:rPr>
          <w:rFonts w:ascii="Arial" w:cs="Arial" w:eastAsia="Arial" w:hAnsi="Arial"/>
          <w:sz w:val="24"/>
          <w:szCs w:val="24"/>
        </w:rPr>
        <w:t xml:space="preserve">- пункт 42 признать утратившим силу; </w:t>
      </w:r>
    </w:p>
    <w:p>
      <w:pPr>
        <w:spacing w:after="120"/>
        <w:ind w:firstLine="567"/>
        <w:jc w:val="both"/>
      </w:pPr>
      <w:r>
        <w:rPr>
          <w:rFonts w:ascii="Arial" w:cs="Arial" w:eastAsia="Arial" w:hAnsi="Arial"/>
          <w:sz w:val="24"/>
          <w:szCs w:val="24"/>
        </w:rPr>
        <w:t xml:space="preserve">- пункт 48 изложить в следующей редакции:</w:t>
      </w:r>
    </w:p>
    <w:p>
      <w:pPr>
        <w:spacing w:after="120"/>
        <w:ind w:firstLine="567"/>
        <w:jc w:val="both"/>
      </w:pPr>
      <w:r>
        <w:rPr>
          <w:rFonts w:ascii="Arial" w:cs="Arial" w:eastAsia="Arial" w:hAnsi="Arial"/>
          <w:sz w:val="24"/>
          <w:szCs w:val="24"/>
        </w:rPr>
        <w:t xml:space="preserve">«48. В процессе и по результатам МСЭ оформляются следующие документы в электронном формате:</w:t>
      </w:r>
    </w:p>
    <w:p>
      <w:pPr>
        <w:spacing w:after="120"/>
        <w:ind w:firstLine="567"/>
        <w:jc w:val="both"/>
      </w:pPr>
      <w:r>
        <w:rPr>
          <w:rFonts w:ascii="Arial" w:cs="Arial" w:eastAsia="Arial" w:hAnsi="Arial"/>
          <w:sz w:val="24"/>
          <w:szCs w:val="24"/>
        </w:rPr>
        <w:t xml:space="preserve">1) акт освидетельствования МСЭК;</w:t>
      </w:r>
    </w:p>
    <w:p>
      <w:pPr>
        <w:spacing w:after="120"/>
        <w:ind w:firstLine="567"/>
        <w:jc w:val="both"/>
      </w:pPr>
      <w:r>
        <w:rPr>
          <w:rFonts w:ascii="Arial" w:cs="Arial" w:eastAsia="Arial" w:hAnsi="Arial"/>
          <w:sz w:val="24"/>
          <w:szCs w:val="24"/>
        </w:rPr>
        <w:t xml:space="preserve">2) ИПРА;</w:t>
      </w:r>
    </w:p>
    <w:p>
      <w:pPr>
        <w:spacing w:after="120"/>
        <w:ind w:firstLine="567"/>
        <w:jc w:val="both"/>
      </w:pPr>
      <w:r>
        <w:rPr>
          <w:rFonts w:ascii="Arial" w:cs="Arial" w:eastAsia="Arial" w:hAnsi="Arial"/>
          <w:sz w:val="24"/>
          <w:szCs w:val="24"/>
        </w:rPr>
        <w:t xml:space="preserve">3) справка МСЭК;</w:t>
      </w:r>
    </w:p>
    <w:p>
      <w:pPr>
        <w:spacing w:after="120"/>
        <w:ind w:firstLine="567"/>
        <w:jc w:val="both"/>
      </w:pPr>
      <w:r>
        <w:rPr>
          <w:rFonts w:ascii="Arial" w:cs="Arial" w:eastAsia="Arial" w:hAnsi="Arial"/>
          <w:sz w:val="24"/>
          <w:szCs w:val="24"/>
        </w:rPr>
        <w:t xml:space="preserve">4) журнал регистрации выдачи справок и выписок из актов освидетельствования МСЭК для государственных органов (Министерство обороны Кыргызской Республики, Министерство внутренних дел Кыргызской Республики, Государственный комитет национальной безопасности Кыргызской Республики, Министерство чрезвычайных ситуаций Кыргызской Республики, Государственная служба исполнения наказаний при Кабинете Министров Кыргызской Республики).»;</w:t>
      </w:r>
    </w:p>
    <w:p>
      <w:pPr>
        <w:spacing w:after="120"/>
        <w:ind w:firstLine="567"/>
        <w:jc w:val="both"/>
      </w:pPr>
      <w:r>
        <w:rPr>
          <w:rFonts w:ascii="Arial" w:cs="Arial" w:eastAsia="Arial" w:hAnsi="Arial"/>
          <w:sz w:val="24"/>
          <w:szCs w:val="24"/>
        </w:rPr>
        <w:t xml:space="preserve">- пункт 49 изложить в следующей редакции:</w:t>
      </w:r>
    </w:p>
    <w:p>
      <w:pPr>
        <w:spacing w:after="120"/>
        <w:ind w:firstLine="567"/>
        <w:jc w:val="both"/>
      </w:pPr>
      <w:r>
        <w:rPr>
          <w:rFonts w:ascii="Arial" w:cs="Arial" w:eastAsia="Arial" w:hAnsi="Arial"/>
          <w:sz w:val="24"/>
          <w:szCs w:val="24"/>
        </w:rPr>
        <w:t xml:space="preserve">«49. Сведения, послужившие основанием для принятия экспертного решения, заносятся в акт освидетельствования МСЭК. Заключения консультантов, привлекаемых к проведению экспертизы, приобщаются к медицинскому акту. Акт освидетельствования МСЭК заверяется цифровыми подписями председателя и членов МСЭК.»;</w:t>
      </w:r>
    </w:p>
    <w:p>
      <w:pPr>
        <w:spacing w:after="120"/>
        <w:ind w:firstLine="567"/>
        <w:jc w:val="both"/>
      </w:pPr>
      <w:r>
        <w:rPr>
          <w:rFonts w:ascii="Arial" w:cs="Arial" w:eastAsia="Arial" w:hAnsi="Arial"/>
          <w:sz w:val="24"/>
          <w:szCs w:val="24"/>
        </w:rPr>
        <w:t xml:space="preserve">- пункт 50 изложить в следующей редакции:</w:t>
      </w:r>
    </w:p>
    <w:p>
      <w:pPr>
        <w:spacing w:after="120"/>
        <w:ind w:firstLine="567"/>
        <w:jc w:val="both"/>
      </w:pPr>
      <w:r>
        <w:rPr>
          <w:rFonts w:ascii="Arial" w:cs="Arial" w:eastAsia="Arial" w:hAnsi="Arial"/>
          <w:sz w:val="24"/>
          <w:szCs w:val="24"/>
        </w:rPr>
        <w:t xml:space="preserve">«50. Акт освидетельствования, статистический талон, журнал протокола проведения МСЭ гражданина, ИПРА формируются в электронное дело МСЭ гражданина в информационной системе уполномоченного государственного органа в сфере труда, социального обеспечения и миграции.</w:t>
      </w:r>
    </w:p>
    <w:p>
      <w:pPr>
        <w:spacing w:after="120"/>
        <w:ind w:firstLine="567"/>
        <w:jc w:val="both"/>
      </w:pPr>
      <w:r>
        <w:rPr>
          <w:rFonts w:ascii="Arial" w:cs="Arial" w:eastAsia="Arial" w:hAnsi="Arial"/>
          <w:sz w:val="24"/>
          <w:szCs w:val="24"/>
        </w:rPr>
        <w:t xml:space="preserve">Документы, сформированные в ходе и по результатам МСЭ в информационной системе уполномоченного государственного органа в сфере труда, социального обеспечения и миграции территориальных МСЭК, утверждаются цифровой подписью председателя и членов МСЭК, принимавших участие в проведении МСЭ.»; </w:t>
      </w:r>
    </w:p>
    <w:p>
      <w:pPr>
        <w:spacing w:after="120"/>
        <w:ind w:firstLine="567"/>
        <w:jc w:val="both"/>
      </w:pPr>
      <w:r>
        <w:rPr>
          <w:rFonts w:ascii="Arial" w:cs="Arial" w:eastAsia="Arial" w:hAnsi="Arial"/>
          <w:sz w:val="24"/>
          <w:szCs w:val="24"/>
        </w:rPr>
        <w:t xml:space="preserve">- пункт 52 изложить в следующей редакции:</w:t>
      </w:r>
    </w:p>
    <w:p>
      <w:pPr>
        <w:spacing w:after="120"/>
        <w:ind w:firstLine="567"/>
        <w:jc w:val="both"/>
      </w:pPr>
      <w:r>
        <w:rPr>
          <w:rFonts w:ascii="Arial" w:cs="Arial" w:eastAsia="Arial" w:hAnsi="Arial"/>
          <w:sz w:val="24"/>
          <w:szCs w:val="24"/>
        </w:rPr>
        <w:t xml:space="preserve">«52. Гражданину, признанному лицом с инвалидностью, или его законному представителю в течение 5 рабочих дней после освидетельствования выдаются:</w:t>
      </w:r>
    </w:p>
    <w:p>
      <w:pPr>
        <w:spacing w:after="120"/>
        <w:ind w:firstLine="567"/>
        <w:jc w:val="both"/>
      </w:pPr>
      <w:r>
        <w:rPr>
          <w:rFonts w:ascii="Arial" w:cs="Arial" w:eastAsia="Arial" w:hAnsi="Arial"/>
          <w:sz w:val="24"/>
          <w:szCs w:val="24"/>
        </w:rPr>
        <w:t xml:space="preserve">- справка МСЭК;</w:t>
      </w:r>
    </w:p>
    <w:p>
      <w:pPr>
        <w:spacing w:after="120"/>
        <w:ind w:firstLine="567"/>
        <w:jc w:val="both"/>
      </w:pPr>
      <w:r>
        <w:rPr>
          <w:rFonts w:ascii="Arial" w:cs="Arial" w:eastAsia="Arial" w:hAnsi="Arial"/>
          <w:sz w:val="24"/>
          <w:szCs w:val="24"/>
        </w:rPr>
        <w:t xml:space="preserve">- листок нетрудоспособности (для работающих граждан) с результатами и датой экспертизы и заключение МСЭК о признании или непризнании гражданина лицом с инвалидностью, которые передаются в организацию здравоохранения посредством СМЭВ «Тундук».</w:t>
      </w:r>
    </w:p>
    <w:p>
      <w:pPr>
        <w:spacing w:after="120"/>
        <w:ind w:firstLine="567"/>
        <w:jc w:val="both"/>
      </w:pPr>
      <w:r>
        <w:rPr>
          <w:rFonts w:ascii="Arial" w:cs="Arial" w:eastAsia="Arial" w:hAnsi="Arial"/>
          <w:sz w:val="24"/>
          <w:szCs w:val="24"/>
        </w:rPr>
        <w:t xml:space="preserve">ИПРА разрабатывается и выдается гражданину после проведения экспертизы не позднее 14 рабочих дней.»;</w:t>
      </w:r>
    </w:p>
    <w:p>
      <w:pPr>
        <w:spacing w:after="120"/>
        <w:ind w:firstLine="567"/>
        <w:jc w:val="both"/>
      </w:pPr>
      <w:r>
        <w:rPr>
          <w:rFonts w:ascii="Arial" w:cs="Arial" w:eastAsia="Arial" w:hAnsi="Arial"/>
          <w:sz w:val="24"/>
          <w:szCs w:val="24"/>
        </w:rPr>
        <w:t xml:space="preserve">- пункт 53 изложить в следующей редакции:</w:t>
      </w:r>
    </w:p>
    <w:p>
      <w:pPr>
        <w:spacing w:after="120"/>
        <w:ind w:firstLine="567"/>
        <w:jc w:val="both"/>
      </w:pPr>
      <w:r>
        <w:rPr>
          <w:rFonts w:ascii="Arial" w:cs="Arial" w:eastAsia="Arial" w:hAnsi="Arial"/>
          <w:sz w:val="24"/>
          <w:szCs w:val="24"/>
        </w:rPr>
        <w:t xml:space="preserve">«53. Если инвалидность связана с трудовым увечьем или профессиональным заболеванием, освидетельствованному лицу выдается справка МСЭК с определением степени утраты профессиональной трудоспособности в процентах, где указывается нуждаемость в дополнительных видах помощи.»;</w:t>
      </w:r>
    </w:p>
    <w:p>
      <w:pPr>
        <w:spacing w:after="120"/>
        <w:ind w:firstLine="567"/>
        <w:jc w:val="both"/>
      </w:pPr>
      <w:r>
        <w:rPr>
          <w:rFonts w:ascii="Arial" w:cs="Arial" w:eastAsia="Arial" w:hAnsi="Arial"/>
          <w:sz w:val="24"/>
          <w:szCs w:val="24"/>
        </w:rPr>
        <w:t xml:space="preserve">- в пункте 56 слова «, Государственной службой исполнения наказаний при Кабинете Министров Кыргызской Республики» исключить;</w:t>
      </w:r>
    </w:p>
    <w:p>
      <w:pPr>
        <w:spacing w:after="120"/>
        <w:ind w:firstLine="567"/>
        <w:jc w:val="both"/>
      </w:pPr>
      <w:r>
        <w:rPr>
          <w:rFonts w:ascii="Arial" w:cs="Arial" w:eastAsia="Arial" w:hAnsi="Arial"/>
          <w:sz w:val="24"/>
          <w:szCs w:val="24"/>
        </w:rPr>
        <w:t xml:space="preserve">- пункт 59 изложить в следующей редакции:</w:t>
      </w:r>
    </w:p>
    <w:p>
      <w:pPr>
        <w:spacing w:after="120"/>
        <w:ind w:firstLine="567"/>
        <w:jc w:val="both"/>
      </w:pPr>
      <w:r>
        <w:rPr>
          <w:rFonts w:ascii="Arial" w:cs="Arial" w:eastAsia="Arial" w:hAnsi="Arial"/>
          <w:sz w:val="24"/>
          <w:szCs w:val="24"/>
        </w:rPr>
        <w:t xml:space="preserve">«59. ИПРА формируется в информационной системе уполномоченного государственного органа в сфере труда, социального обеспечения и миграции в форме цифрового документа, утверждается цифровой подписью председателя МСЭК и предоставляется в заинтересованные ведомства на исполнение, а также гражданину (его законному или уполномоченному представителю) в цифровой форме. ИПРА может быть выдана также в бумажной форме.»;</w:t>
      </w:r>
    </w:p>
    <w:p>
      <w:pPr>
        <w:spacing w:after="120"/>
        <w:ind w:firstLine="567"/>
        <w:jc w:val="both"/>
      </w:pPr>
      <w:r>
        <w:rPr>
          <w:rFonts w:ascii="Arial" w:cs="Arial" w:eastAsia="Arial" w:hAnsi="Arial"/>
          <w:sz w:val="24"/>
          <w:szCs w:val="24"/>
        </w:rPr>
        <w:t xml:space="preserve">- в абзаце первом пункта 63 слова «и в выписке из акта освидетельствования МСЭК» исключить;</w:t>
      </w:r>
    </w:p>
    <w:p>
      <w:pPr>
        <w:spacing w:after="120"/>
        <w:ind w:firstLine="567"/>
        <w:jc w:val="both"/>
      </w:pPr>
      <w:r>
        <w:rPr>
          <w:rFonts w:ascii="Arial" w:cs="Arial" w:eastAsia="Arial" w:hAnsi="Arial"/>
          <w:sz w:val="24"/>
          <w:szCs w:val="24"/>
        </w:rPr>
        <w:t xml:space="preserve">- пункт 64 дополнить подпунктом 6 следующего содержания:</w:t>
      </w:r>
    </w:p>
    <w:p>
      <w:pPr>
        <w:spacing w:after="120"/>
        <w:ind w:firstLine="567"/>
        <w:jc w:val="both"/>
      </w:pPr>
      <w:r>
        <w:rPr>
          <w:rFonts w:ascii="Arial" w:cs="Arial" w:eastAsia="Arial" w:hAnsi="Arial"/>
          <w:sz w:val="24"/>
          <w:szCs w:val="24"/>
        </w:rPr>
        <w:t xml:space="preserve">«6) объявление режима чрезвычайной ситуации/чрезвычайного положения.»;</w:t>
      </w:r>
    </w:p>
    <w:p>
      <w:pPr>
        <w:spacing w:after="120"/>
        <w:ind w:firstLine="567"/>
        <w:jc w:val="both"/>
      </w:pPr>
      <w:r>
        <w:rPr>
          <w:rFonts w:ascii="Arial" w:cs="Arial" w:eastAsia="Arial" w:hAnsi="Arial"/>
          <w:sz w:val="24"/>
          <w:szCs w:val="24"/>
        </w:rPr>
        <w:t xml:space="preserve">- в абзаце втором пункта 65 слова «и выписке из акта освидетельствования МСЭК» исключить;</w:t>
      </w:r>
    </w:p>
    <w:p>
      <w:pPr>
        <w:spacing w:after="120"/>
        <w:ind w:firstLine="567"/>
        <w:jc w:val="both"/>
      </w:pPr>
      <w:r>
        <w:rPr>
          <w:rFonts w:ascii="Arial" w:cs="Arial" w:eastAsia="Arial" w:hAnsi="Arial"/>
          <w:sz w:val="24"/>
          <w:szCs w:val="24"/>
        </w:rPr>
        <w:t xml:space="preserve">- пункт 79 изложить в следующей редакции:</w:t>
      </w:r>
    </w:p>
    <w:p>
      <w:pPr>
        <w:spacing w:after="120"/>
        <w:ind w:firstLine="567"/>
        <w:jc w:val="both"/>
      </w:pPr>
      <w:r>
        <w:rPr>
          <w:rFonts w:ascii="Arial" w:cs="Arial" w:eastAsia="Arial" w:hAnsi="Arial"/>
          <w:sz w:val="24"/>
          <w:szCs w:val="24"/>
        </w:rPr>
        <w:t xml:space="preserve">«79. Заключения о времени наступления инвалидности, группе, причине инвалидности, степени утраты профессиональной трудоспособности в процентах за прошлое время, на наличие признаков инвалидности оформляются справкой МСЭК и заверяются цифровой подписью председателя МСЭК.»;</w:t>
      </w:r>
    </w:p>
    <w:p>
      <w:pPr>
        <w:spacing w:after="120"/>
        <w:ind w:firstLine="567"/>
        <w:jc w:val="both"/>
      </w:pPr>
      <w:r>
        <w:rPr>
          <w:rFonts w:ascii="Arial" w:cs="Arial" w:eastAsia="Arial" w:hAnsi="Arial"/>
          <w:sz w:val="24"/>
          <w:szCs w:val="24"/>
        </w:rPr>
        <w:t xml:space="preserve">- в абзаце четвертом пункта 80 аббревиатуру «КИССП» заменить словами «информационной системе уполномоченного государственного органа в сфере труда, социального обеспечения и миграции»; </w:t>
      </w:r>
    </w:p>
    <w:p>
      <w:pPr>
        <w:spacing w:after="120"/>
        <w:ind w:firstLine="567"/>
        <w:jc w:val="both"/>
      </w:pPr>
      <w:r>
        <w:rPr>
          <w:rFonts w:ascii="Arial" w:cs="Arial" w:eastAsia="Arial" w:hAnsi="Arial"/>
          <w:sz w:val="24"/>
          <w:szCs w:val="24"/>
        </w:rPr>
        <w:t xml:space="preserve">- абзац второй пункта 81 признать утратившим силу;</w:t>
      </w:r>
    </w:p>
    <w:p>
      <w:pPr>
        <w:spacing w:after="120"/>
        <w:ind w:firstLine="567"/>
        <w:jc w:val="both"/>
      </w:pPr>
      <w:r>
        <w:rPr>
          <w:rFonts w:ascii="Arial" w:cs="Arial" w:eastAsia="Arial" w:hAnsi="Arial"/>
          <w:sz w:val="24"/>
          <w:szCs w:val="24"/>
        </w:rPr>
        <w:t xml:space="preserve">- в приложении 1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в пункте 1:</w:t>
      </w:r>
    </w:p>
    <w:p>
      <w:pPr>
        <w:spacing w:after="120"/>
        <w:ind w:firstLine="567"/>
        <w:jc w:val="both"/>
      </w:pPr>
      <w:r>
        <w:rPr>
          <w:rFonts w:ascii="Arial" w:cs="Arial" w:eastAsia="Arial" w:hAnsi="Arial"/>
          <w:sz w:val="24"/>
          <w:szCs w:val="24"/>
        </w:rPr>
        <w:t xml:space="preserve">подпункт 2 изложить в следующей редакции:</w:t>
      </w:r>
    </w:p>
    <w:p>
      <w:pPr>
        <w:spacing w:after="120"/>
        <w:ind w:firstLine="567"/>
        <w:jc w:val="both"/>
      </w:pPr>
      <w:r>
        <w:rPr>
          <w:rFonts w:ascii="Arial" w:cs="Arial" w:eastAsia="Arial" w:hAnsi="Arial"/>
          <w:sz w:val="24"/>
          <w:szCs w:val="24"/>
        </w:rPr>
        <w:t xml:space="preserve">«2) основные категории жизнедеятельности человека и степени выраженности их ограничений, которые устанавливаются с учетом биологических и психофизических характеристик, а также социально-средовых факторов, определяющих возможность восстановления пациентом личного и социального статуса (реабилитационный потенциал);»;</w:t>
      </w:r>
    </w:p>
    <w:p>
      <w:pPr>
        <w:spacing w:after="120"/>
        <w:ind w:firstLine="567"/>
        <w:jc w:val="both"/>
      </w:pPr>
      <w:r>
        <w:rPr>
          <w:rFonts w:ascii="Arial" w:cs="Arial" w:eastAsia="Arial" w:hAnsi="Arial"/>
          <w:sz w:val="24"/>
          <w:szCs w:val="24"/>
        </w:rPr>
        <w:t xml:space="preserve">дополнить подпунктом 3 следующего содержания: </w:t>
      </w:r>
    </w:p>
    <w:p>
      <w:pPr>
        <w:spacing w:after="120"/>
        <w:ind w:firstLine="567"/>
        <w:jc w:val="both"/>
      </w:pPr>
      <w:r>
        <w:rPr>
          <w:rFonts w:ascii="Arial" w:cs="Arial" w:eastAsia="Arial" w:hAnsi="Arial"/>
          <w:sz w:val="24"/>
          <w:szCs w:val="24"/>
        </w:rPr>
        <w:t xml:space="preserve">«3) реабилитационные, абилитационные меры.»;</w:t>
      </w:r>
    </w:p>
    <w:p>
      <w:pPr>
        <w:spacing w:after="120"/>
        <w:ind w:firstLine="567"/>
        <w:jc w:val="both"/>
      </w:pPr>
      <w:r>
        <w:rPr>
          <w:rFonts w:ascii="Arial" w:cs="Arial" w:eastAsia="Arial" w:hAnsi="Arial"/>
          <w:sz w:val="24"/>
          <w:szCs w:val="24"/>
        </w:rPr>
        <w:t xml:space="preserve">в пункте 59 слова «1 год» заменить словами «2 года»;</w:t>
      </w:r>
    </w:p>
    <w:p>
      <w:pPr>
        <w:spacing w:after="120"/>
        <w:ind w:firstLine="567"/>
        <w:jc w:val="both"/>
      </w:pPr>
      <w:r>
        <w:rPr>
          <w:rFonts w:ascii="Arial" w:cs="Arial" w:eastAsia="Arial" w:hAnsi="Arial"/>
          <w:sz w:val="24"/>
          <w:szCs w:val="24"/>
        </w:rPr>
        <w:t xml:space="preserve">абзац первый пункта 77 изложить в следующей редакции:</w:t>
      </w:r>
    </w:p>
    <w:p>
      <w:pPr>
        <w:spacing w:after="120"/>
        <w:ind w:firstLine="567"/>
        <w:jc w:val="both"/>
      </w:pPr>
      <w:r>
        <w:rPr>
          <w:rFonts w:ascii="Arial" w:cs="Arial" w:eastAsia="Arial" w:hAnsi="Arial"/>
          <w:sz w:val="24"/>
          <w:szCs w:val="24"/>
        </w:rPr>
        <w:t xml:space="preserve">«77. Устанавливается II группа инвалидности на 4 года при первичном освидетельствовании, при повторном освидетельствовании в зависимости от степени ограничения жизнедеятельности – бессрочно:»;</w:t>
      </w:r>
    </w:p>
    <w:p>
      <w:pPr>
        <w:spacing w:after="120"/>
        <w:ind w:firstLine="567"/>
        <w:jc w:val="both"/>
      </w:pPr>
      <w:r>
        <w:rPr>
          <w:rFonts w:ascii="Arial" w:cs="Arial" w:eastAsia="Arial" w:hAnsi="Arial"/>
          <w:sz w:val="24"/>
          <w:szCs w:val="24"/>
        </w:rPr>
        <w:t xml:space="preserve">в абзаце четвертом пункта 78 слова «4-х» заменить словами «2-х»;</w:t>
      </w:r>
    </w:p>
    <w:p>
      <w:pPr>
        <w:spacing w:after="120"/>
        <w:ind w:firstLine="567"/>
        <w:jc w:val="both"/>
      </w:pPr>
      <w:r>
        <w:rPr>
          <w:rFonts w:ascii="Arial" w:cs="Arial" w:eastAsia="Arial" w:hAnsi="Arial"/>
          <w:sz w:val="24"/>
          <w:szCs w:val="24"/>
        </w:rPr>
        <w:t xml:space="preserve">в пункте 79 слова «1 год» заменить словами «4 года»;</w:t>
      </w:r>
    </w:p>
    <w:p>
      <w:pPr>
        <w:spacing w:after="120"/>
        <w:ind w:firstLine="567"/>
        <w:jc w:val="both"/>
      </w:pPr>
      <w:r>
        <w:rPr>
          <w:rFonts w:ascii="Arial" w:cs="Arial" w:eastAsia="Arial" w:hAnsi="Arial"/>
          <w:sz w:val="24"/>
          <w:szCs w:val="24"/>
        </w:rPr>
        <w:t xml:space="preserve">дополнить главой 11 следующего содержания:</w:t>
      </w:r>
    </w:p>
    <w:p>
      <w:pPr>
        <w:spacing w:after="120"/>
        <w:ind w:firstLine="567"/>
        <w:jc w:val="both"/>
      </w:pPr>
      <w:r>
        <w:rPr>
          <w:rFonts w:ascii="Arial" w:cs="Arial" w:eastAsia="Arial" w:hAnsi="Arial"/>
          <w:sz w:val="24"/>
          <w:szCs w:val="24"/>
        </w:rPr>
        <w:t xml:space="preserve">«Глава 11. Реабилитационный потенциал</w:t>
      </w:r>
    </w:p>
    <w:p>
      <w:pPr>
        <w:spacing w:after="120"/>
        <w:ind w:firstLine="567"/>
        <w:jc w:val="both"/>
      </w:pPr>
      <w:r>
        <w:rPr>
          <w:rFonts w:ascii="Arial" w:cs="Arial" w:eastAsia="Arial" w:hAnsi="Arial"/>
          <w:sz w:val="24"/>
          <w:szCs w:val="24"/>
        </w:rPr>
        <w:t xml:space="preserve">82. Реабилитационный потенциал – совокупность физических, психических, социальных и профессиональных возможностей лица с инвалидностью, которые определяют возможность к восстановлению или компенсации утраченных функций организма к определенному моменту с учетом индивидуальных особенностей гражданина, а также к адаптации в обществе.</w:t>
      </w:r>
    </w:p>
    <w:p>
      <w:pPr>
        <w:spacing w:after="120"/>
        <w:ind w:firstLine="567"/>
        <w:jc w:val="both"/>
      </w:pPr>
      <w:r>
        <w:rPr>
          <w:rFonts w:ascii="Arial" w:cs="Arial" w:eastAsia="Arial" w:hAnsi="Arial"/>
          <w:sz w:val="24"/>
          <w:szCs w:val="24"/>
        </w:rPr>
        <w:t xml:space="preserve">83. Различают следующие степени реабилитационного потенциала:</w:t>
      </w:r>
    </w:p>
    <w:p>
      <w:pPr>
        <w:spacing w:after="120"/>
        <w:ind w:firstLine="567"/>
        <w:jc w:val="both"/>
      </w:pPr>
      <w:r>
        <w:rPr>
          <w:rFonts w:ascii="Arial" w:cs="Arial" w:eastAsia="Arial" w:hAnsi="Arial"/>
          <w:sz w:val="24"/>
          <w:szCs w:val="24"/>
        </w:rPr>
        <w:t xml:space="preserve">1) высокий реабилитационный потенциал – имеются значительные возможности восстановления функций организма, коррекции нарушений и социальной адаптации при проведении соответствующих мероприятий;</w:t>
      </w:r>
    </w:p>
    <w:p>
      <w:pPr>
        <w:spacing w:after="120"/>
        <w:ind w:firstLine="567"/>
        <w:jc w:val="both"/>
      </w:pPr>
      <w:r>
        <w:rPr>
          <w:rFonts w:ascii="Arial" w:cs="Arial" w:eastAsia="Arial" w:hAnsi="Arial"/>
          <w:sz w:val="24"/>
          <w:szCs w:val="24"/>
        </w:rPr>
        <w:t xml:space="preserve">2) средний реабилитационный потенциал – возможности восстановления и адаптации ограничены, но при комплексной реабилитации возможно существенное улучшение состояния;</w:t>
      </w:r>
    </w:p>
    <w:p>
      <w:pPr>
        <w:spacing w:after="120"/>
        <w:ind w:firstLine="567"/>
        <w:jc w:val="both"/>
      </w:pPr>
      <w:r>
        <w:rPr>
          <w:rFonts w:ascii="Arial" w:cs="Arial" w:eastAsia="Arial" w:hAnsi="Arial"/>
          <w:sz w:val="24"/>
          <w:szCs w:val="24"/>
        </w:rPr>
        <w:t xml:space="preserve">3) низкий реабилитационный потенциал – возможности восстановления минимальны, реабилитационные мероприятия направлены в основном на поддержание состояния и профилактику ухудшений;</w:t>
      </w:r>
    </w:p>
    <w:p>
      <w:pPr>
        <w:spacing w:after="120"/>
        <w:ind w:firstLine="567"/>
        <w:jc w:val="both"/>
      </w:pPr>
      <w:r>
        <w:rPr>
          <w:rFonts w:ascii="Arial" w:cs="Arial" w:eastAsia="Arial" w:hAnsi="Arial"/>
          <w:sz w:val="24"/>
          <w:szCs w:val="24"/>
        </w:rPr>
        <w:t xml:space="preserve">4) отсутствие реабилитационного потенциала – реабилитационные мероприятия не приводят к значимым изменениям, состояние носит стойкий и необратимый характер.</w:t>
      </w:r>
    </w:p>
    <w:p>
      <w:pPr>
        <w:spacing w:after="120"/>
        <w:ind w:firstLine="567"/>
        <w:jc w:val="both"/>
      </w:pPr>
      <w:r>
        <w:rPr>
          <w:rFonts w:ascii="Arial" w:cs="Arial" w:eastAsia="Arial" w:hAnsi="Arial"/>
          <w:sz w:val="24"/>
          <w:szCs w:val="24"/>
        </w:rPr>
        <w:t xml:space="preserve">84. Установление группы инвалидности осуществляется с учетом степени реабилитационного потенциала при:</w:t>
      </w:r>
    </w:p>
    <w:p>
      <w:pPr>
        <w:spacing w:after="120"/>
        <w:ind w:firstLine="567"/>
        <w:jc w:val="both"/>
      </w:pPr>
      <w:r>
        <w:rPr>
          <w:rFonts w:ascii="Arial" w:cs="Arial" w:eastAsia="Arial" w:hAnsi="Arial"/>
          <w:sz w:val="24"/>
          <w:szCs w:val="24"/>
        </w:rPr>
        <w:t xml:space="preserve">1) высоком реабилитационном потенциале устанавливается III группа сроком на 2 года с обязательным пересмотром состояния;</w:t>
      </w:r>
    </w:p>
    <w:p>
      <w:pPr>
        <w:spacing w:after="120"/>
        <w:ind w:firstLine="567"/>
        <w:jc w:val="both"/>
      </w:pPr>
      <w:r>
        <w:rPr>
          <w:rFonts w:ascii="Arial" w:cs="Arial" w:eastAsia="Arial" w:hAnsi="Arial"/>
          <w:sz w:val="24"/>
          <w:szCs w:val="24"/>
        </w:rPr>
        <w:t xml:space="preserve">2) среднем реабилитационном потенциале устанавливается преимущественно II группа сроком на 4 года с пересмотром состояния;</w:t>
      </w:r>
    </w:p>
    <w:p>
      <w:pPr>
        <w:spacing w:after="120"/>
        <w:ind w:firstLine="567"/>
        <w:jc w:val="both"/>
      </w:pPr>
      <w:r>
        <w:rPr>
          <w:rFonts w:ascii="Arial" w:cs="Arial" w:eastAsia="Arial" w:hAnsi="Arial"/>
          <w:sz w:val="24"/>
          <w:szCs w:val="24"/>
        </w:rPr>
        <w:t xml:space="preserve">3) низком реабилитационном потенциале устанавливается I группа на 7 лет или II группа сроком на 4 года с учетом необходимости постоянных мер поддержки и ухода;</w:t>
      </w:r>
    </w:p>
    <w:p>
      <w:pPr>
        <w:spacing w:after="120"/>
        <w:ind w:firstLine="567"/>
        <w:jc w:val="both"/>
      </w:pPr>
      <w:r>
        <w:rPr>
          <w:rFonts w:ascii="Arial" w:cs="Arial" w:eastAsia="Arial" w:hAnsi="Arial"/>
          <w:sz w:val="24"/>
          <w:szCs w:val="24"/>
        </w:rPr>
        <w:t xml:space="preserve">4) отсутствующем реабилитационном потенциале устанавливается I группа сроком на 7 лет либо бессрочно.»;</w:t>
      </w:r>
    </w:p>
    <w:p>
      <w:pPr>
        <w:spacing w:after="120"/>
        <w:ind w:firstLine="567"/>
        <w:jc w:val="both"/>
      </w:pPr>
      <w:r>
        <w:rPr>
          <w:rFonts w:ascii="Arial" w:cs="Arial" w:eastAsia="Arial" w:hAnsi="Arial"/>
          <w:sz w:val="24"/>
          <w:szCs w:val="24"/>
        </w:rPr>
        <w:t xml:space="preserve">приложение к Классификациям и критериям, используемым при осуществлении медико-социальной экспертизы граждан, изложить в редакции согласно </w:t>
      </w:r>
      <w:hyperlink w:history="1" r:id="rIdj_jjcssijlbeciwkkuk2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 </w:t>
      </w:r>
    </w:p>
    <w:p>
      <w:pPr>
        <w:spacing w:after="120"/>
        <w:ind w:firstLine="567"/>
        <w:jc w:val="both"/>
      </w:pPr>
      <w:r>
        <w:rPr>
          <w:rFonts w:ascii="Arial" w:cs="Arial" w:eastAsia="Arial" w:hAnsi="Arial"/>
          <w:sz w:val="24"/>
          <w:szCs w:val="24"/>
        </w:rPr>
        <w:t xml:space="preserve">- в приложении 2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в пункте 95 слова «и выпиской из акта освидетельствования МСЭК» исключить;</w:t>
      </w:r>
    </w:p>
    <w:p>
      <w:pPr>
        <w:spacing w:after="120"/>
        <w:ind w:firstLine="567"/>
        <w:jc w:val="both"/>
      </w:pPr>
      <w:r>
        <w:rPr>
          <w:rFonts w:ascii="Arial" w:cs="Arial" w:eastAsia="Arial" w:hAnsi="Arial"/>
          <w:sz w:val="24"/>
          <w:szCs w:val="24"/>
        </w:rPr>
        <w:t xml:space="preserve">приложение к Порядку установления причин инвалидности признать утратившим силу;</w:t>
      </w:r>
    </w:p>
    <w:p>
      <w:pPr>
        <w:spacing w:after="120"/>
        <w:ind w:firstLine="567"/>
        <w:jc w:val="both"/>
      </w:pPr>
      <w:r>
        <w:rPr>
          <w:rFonts w:ascii="Arial" w:cs="Arial" w:eastAsia="Arial" w:hAnsi="Arial"/>
          <w:sz w:val="24"/>
          <w:szCs w:val="24"/>
        </w:rPr>
        <w:t xml:space="preserve">- в приложении 3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абзац третий пункта 3 признать утратившим силу;</w:t>
      </w:r>
    </w:p>
    <w:p>
      <w:pPr>
        <w:spacing w:after="120"/>
        <w:ind w:firstLine="567"/>
        <w:jc w:val="both"/>
      </w:pPr>
      <w:r>
        <w:rPr>
          <w:rFonts w:ascii="Arial" w:cs="Arial" w:eastAsia="Arial" w:hAnsi="Arial"/>
          <w:sz w:val="24"/>
          <w:szCs w:val="24"/>
        </w:rPr>
        <w:t xml:space="preserve">пункт 4 дополнить абзацем двенадцатым следующего содержания:</w:t>
      </w:r>
    </w:p>
    <w:p>
      <w:pPr>
        <w:spacing w:after="120"/>
        <w:ind w:firstLine="567"/>
        <w:jc w:val="both"/>
      </w:pPr>
      <w:r>
        <w:rPr>
          <w:rFonts w:ascii="Arial" w:cs="Arial" w:eastAsia="Arial" w:hAnsi="Arial"/>
          <w:sz w:val="24"/>
          <w:szCs w:val="24"/>
        </w:rPr>
        <w:t xml:space="preserve">«– бронхиальная астма тяжелой степени с частыми обострениями.»;</w:t>
      </w:r>
    </w:p>
    <w:p>
      <w:pPr>
        <w:spacing w:after="120"/>
        <w:ind w:firstLine="567"/>
        <w:jc w:val="both"/>
      </w:pPr>
      <w:r>
        <w:rPr>
          <w:rFonts w:ascii="Arial" w:cs="Arial" w:eastAsia="Arial" w:hAnsi="Arial"/>
          <w:sz w:val="24"/>
          <w:szCs w:val="24"/>
        </w:rPr>
        <w:t xml:space="preserve">пункт 15 дополнить подпунктом 15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Освидетельствование детей с синдромом Дауна осуществляется непосредственно специализированной МСЭК (психиатрической) с установлением категории «Ребенок с инвалидностью» до достижения 18 лет без предварительного освидетельствования в МСЭК общего профиля. </w:t>
      </w:r>
    </w:p>
    <w:p>
      <w:pPr>
        <w:spacing w:after="120"/>
        <w:ind w:firstLine="567"/>
        <w:jc w:val="both"/>
      </w:pPr>
      <w:r>
        <w:rPr>
          <w:rFonts w:ascii="Arial" w:cs="Arial" w:eastAsia="Arial" w:hAnsi="Arial"/>
          <w:sz w:val="24"/>
          <w:szCs w:val="24"/>
        </w:rPr>
        <w:t xml:space="preserve">Направление на освидетельствование в специализированную МСЭК (психиатрическую) выдается врачами специализированного и первичного звена организации здравоохранения (детский психиатр, семейный врач, педиатр, невролог).»;</w:t>
      </w:r>
    </w:p>
    <w:p>
      <w:pPr>
        <w:spacing w:after="120"/>
        <w:ind w:firstLine="567"/>
        <w:jc w:val="both"/>
      </w:pPr>
      <w:r>
        <w:rPr>
          <w:rFonts w:ascii="Arial" w:cs="Arial" w:eastAsia="Arial" w:hAnsi="Arial"/>
          <w:sz w:val="24"/>
          <w:szCs w:val="24"/>
        </w:rPr>
        <w:t xml:space="preserve">абзац восьмой пункта 17 признать утратившим силу;</w:t>
      </w:r>
    </w:p>
    <w:p>
      <w:pPr>
        <w:spacing w:after="120"/>
        <w:ind w:firstLine="567"/>
        <w:jc w:val="both"/>
      </w:pPr>
      <w:r>
        <w:rPr>
          <w:rFonts w:ascii="Arial" w:cs="Arial" w:eastAsia="Arial" w:hAnsi="Arial"/>
          <w:sz w:val="24"/>
          <w:szCs w:val="24"/>
        </w:rPr>
        <w:t xml:space="preserve">приложение к Критериям для установления категории «Ребенок с инвалидностью» детям до 18 лет изложить в редакции согласно </w:t>
      </w:r>
      <w:hyperlink w:history="1" r:id="rIdjo-mzt7xu3otuksibzjci">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 </w:t>
      </w:r>
    </w:p>
    <w:p>
      <w:pPr>
        <w:spacing w:after="120"/>
        <w:ind w:firstLine="567"/>
        <w:jc w:val="both"/>
      </w:pPr>
      <w:r>
        <w:rPr>
          <w:rFonts w:ascii="Arial" w:cs="Arial" w:eastAsia="Arial" w:hAnsi="Arial"/>
          <w:sz w:val="24"/>
          <w:szCs w:val="24"/>
        </w:rPr>
        <w:t xml:space="preserve">- в приложении 4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дополнить пунктом 18 следующего содержания:</w:t>
      </w:r>
    </w:p>
    <w:p>
      <w:pPr>
        <w:spacing w:after="120"/>
        <w:ind w:firstLine="567"/>
        <w:jc w:val="both"/>
      </w:pPr>
      <w:r>
        <w:rPr>
          <w:rFonts w:ascii="Arial" w:cs="Arial" w:eastAsia="Arial" w:hAnsi="Arial"/>
          <w:sz w:val="24"/>
          <w:szCs w:val="24"/>
        </w:rPr>
        <w:t xml:space="preserve">«18. Дети, рожденные у осужденных матерей в местах отбывания наказания, при наличии врожденных пороков развития, наследственных заболеваний или иных патологий подлежат освидетельствованию МСЭК на общих основаниях в соответствии с настоящим Положением.»;</w:t>
      </w:r>
    </w:p>
    <w:p>
      <w:pPr>
        <w:spacing w:after="120"/>
        <w:ind w:firstLine="567"/>
        <w:jc w:val="both"/>
      </w:pPr>
      <w:r>
        <w:rPr>
          <w:rFonts w:ascii="Arial" w:cs="Arial" w:eastAsia="Arial" w:hAnsi="Arial"/>
          <w:sz w:val="24"/>
          <w:szCs w:val="24"/>
        </w:rPr>
        <w:t xml:space="preserve">- в приложении 5 к Положению о признании гражданина лицом с инвалидностью:</w:t>
      </w:r>
    </w:p>
    <w:p>
      <w:pPr>
        <w:spacing w:after="120"/>
        <w:ind w:firstLine="567"/>
        <w:jc w:val="both"/>
      </w:pPr>
      <w:r>
        <w:rPr>
          <w:rFonts w:ascii="Arial" w:cs="Arial" w:eastAsia="Arial" w:hAnsi="Arial"/>
          <w:sz w:val="24"/>
          <w:szCs w:val="24"/>
        </w:rPr>
        <w:t xml:space="preserve">пункт 30 дополнить подпунктом 30</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«30</w:t>
      </w:r>
      <w:r>
        <w:rPr>
          <w:rFonts w:ascii="Arial" w:cs="Arial" w:eastAsia="Arial" w:hAnsi="Arial"/>
          <w:sz w:val="24"/>
          <w:szCs w:val="24"/>
        </w:rPr>
        <w:t xml:space="preserve">1</w:t>
      </w:r>
      <w:r>
        <w:rPr>
          <w:rFonts w:ascii="Arial" w:cs="Arial" w:eastAsia="Arial" w:hAnsi="Arial"/>
          <w:sz w:val="24"/>
          <w:szCs w:val="24"/>
        </w:rPr>
        <w:t xml:space="preserve">. Указанные в настоящем пункте критерии для определения установления нуждаемости в постоянном постороннем уходе и надзоре должны быть определены у граждан, как у взрослых, так и у детей, у которых заболевание, травма или дефекты привели к серьезным, необратимым последствиям, что должно быть подтверждено лечащим врачом согласно Международной классификации функционирования, ограничений жизнедеятельности и здоровья, и соответствующим уровням IV–V GMFCS (система классификации крупной моторной функции), MACS (система классификации мануальных способностей).»;</w:t>
      </w:r>
    </w:p>
    <w:p>
      <w:pPr>
        <w:spacing w:after="120"/>
        <w:ind w:firstLine="567"/>
        <w:jc w:val="both"/>
      </w:pPr>
      <w:r>
        <w:rPr>
          <w:rFonts w:ascii="Arial" w:cs="Arial" w:eastAsia="Arial" w:hAnsi="Arial"/>
          <w:sz w:val="24"/>
          <w:szCs w:val="24"/>
        </w:rPr>
        <w:t xml:space="preserve">приложение к Порядку определения нуждаемости в постороннем уходе признать утратившим силу.</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12 мая 2026 года № 34 (3794)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Классификациям и критериям, используемым
 при осуществлении медико-социальной экспертизы граждан</w:t>
      </w:r>
    </w:p>
    <w:p>
      <w:pPr>
        <w:spacing w:after="240" w:before="200"/>
        <w:jc w:val="center"/>
      </w:pPr>
      <w:r>
        <w:rPr>
          <w:rFonts w:ascii="Arial" w:cs="Arial" w:eastAsia="Arial" w:hAnsi="Arial"/>
          <w:b/>
          <w:bCs/>
          <w:sz w:val="24"/>
          <w:szCs w:val="24"/>
        </w:rPr>
        <w:t xml:space="preserve">Кыргыз Республикасынын Эмгек, социалдык камсыздоо жана миграция министрлигине караштуу Республикалык медициналык-социалдык экспертизалоо борбору </w:t>
      </w:r>
    </w:p>
    <w:p>
      <w:pPr>
        <w:spacing w:after="240" w:before="200"/>
        <w:jc w:val="center"/>
      </w:pPr>
      <w:r>
        <w:rPr>
          <w:rFonts w:ascii="Arial" w:cs="Arial" w:eastAsia="Arial" w:hAnsi="Arial"/>
          <w:b/>
          <w:bCs/>
          <w:sz w:val="24"/>
          <w:szCs w:val="24"/>
        </w:rPr>
        <w:t xml:space="preserve">Республиканский центр медико-социальной экспертизы при Министерстве труда, социального обеспечения и миграции Кыргызской Республики</w:t>
      </w:r>
    </w:p>
    <w:p>
      <w:pPr>
        <w:spacing w:after="240" w:before="200"/>
        <w:jc w:val="center"/>
      </w:pPr>
      <w:r>
        <w:rPr>
          <w:rFonts w:ascii="Arial" w:cs="Arial" w:eastAsia="Arial" w:hAnsi="Arial"/>
          <w:b/>
          <w:bCs/>
          <w:sz w:val="24"/>
          <w:szCs w:val="24"/>
        </w:rPr>
        <w:t xml:space="preserve">МСЭКтин маалымкаты/</w:t>
      </w:r>
    </w:p>
    <w:p>
      <w:pPr>
        <w:spacing w:after="240" w:before="200"/>
        <w:jc w:val="center"/>
      </w:pPr>
      <w:r>
        <w:rPr>
          <w:rFonts w:ascii="Arial" w:cs="Arial" w:eastAsia="Arial" w:hAnsi="Arial"/>
          <w:b/>
          <w:bCs/>
          <w:sz w:val="24"/>
          <w:szCs w:val="24"/>
        </w:rPr>
        <w:t xml:space="preserve">Справка МСЭК</w:t>
      </w:r>
    </w:p>
    <w:p>
      <w:pPr>
        <w:spacing w:after="240" w:before="200"/>
        <w:jc w:val="center"/>
      </w:pPr>
      <w:r>
        <w:rPr>
          <w:rFonts w:ascii="Arial" w:cs="Arial" w:eastAsia="Arial" w:hAnsi="Arial"/>
          <w:b/>
          <w:bCs/>
          <w:sz w:val="24"/>
          <w:szCs w:val="24"/>
        </w:rPr>
        <w:t xml:space="preserve">Негиз: 20___-жылдын «___» _______№ _______ </w:t>
      </w:r>
    </w:p>
    <w:p>
      <w:pPr>
        <w:spacing w:after="240" w:before="200"/>
        <w:jc w:val="center"/>
      </w:pPr>
      <w:r>
        <w:rPr>
          <w:rFonts w:ascii="Arial" w:cs="Arial" w:eastAsia="Arial" w:hAnsi="Arial"/>
          <w:b/>
          <w:bCs/>
          <w:sz w:val="24"/>
          <w:szCs w:val="24"/>
        </w:rPr>
        <w:t xml:space="preserve">күбөлөндүрүү актысы</w:t>
      </w:r>
    </w:p>
    <w:p>
      <w:pPr>
        <w:spacing w:after="240" w:before="200"/>
        <w:jc w:val="center"/>
      </w:pPr>
      <w:r>
        <w:rPr>
          <w:rFonts w:ascii="Arial" w:cs="Arial" w:eastAsia="Arial" w:hAnsi="Arial"/>
          <w:b/>
          <w:bCs/>
          <w:sz w:val="24"/>
          <w:szCs w:val="24"/>
        </w:rPr>
        <w:t xml:space="preserve">Основание: акт освидетельствования 
  № _____ от «___» _____ 20___года</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Облусу/Область:_________район/район:_________шаары/город:_____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Медициналык-социалдык эксперттик комиссиясынын түрү, профили/</w:t>
      </w:r>
    </w:p>
    <w:p>
      <w:pPr>
        <w:spacing w:after="120"/>
        <w:ind w:firstLine="567"/>
        <w:jc w:val="both"/>
      </w:pPr>
      <w:r>
        <w:rPr>
          <w:rFonts w:ascii="Arial" w:cs="Arial" w:eastAsia="Arial" w:hAnsi="Arial"/>
          <w:sz w:val="24"/>
          <w:szCs w:val="24"/>
        </w:rPr>
        <w:t xml:space="preserve">Вид, профиль медико-социальной экспертной комиссии:____________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Аты-жөнү/Ф.И.О.:____________________________________________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Туулган жылы/Дата рождения:__________________________________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Күбөлөндүрүү датасы/Дата освидетельствования:__________________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Жашаган дареги/ Адрес проживания:_____________________________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Майыптыктын тобу/Группа инвалидности:________________________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Майыптыктын себеби/Причина инвалидности:____________________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 болуу убактысы эсептелген/Время наступления инвалидности зачесть:_____________________________________________________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 чейинки мөөнөткө белгиленген/Инвалидность установлена на срок до:___________________________________________________</w:t>
      </w:r>
    </w:p>
    <w:p>
      <w:pPr>
        <w:spacing w:after="120"/>
        <w:ind w:firstLine="567"/>
        <w:jc w:val="both"/>
      </w:pPr>
      <w:r>
        <w:rPr>
          <w:rFonts w:ascii="Arial" w:cs="Arial" w:eastAsia="Arial" w:hAnsi="Arial"/>
          <w:sz w:val="24"/>
          <w:szCs w:val="24"/>
        </w:rPr>
        <w:t xml:space="preserve">Кезектеги кайра күбөлөндүрүү датасы/Дата очередного переосвидетельствования: 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Диагнозу/Диагноз:________________________________________________________________________________________________________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Майыптык белгиленген (биринчи жолу, кайрадан)/Установлена инвалидность (впервые, повторно):______________________________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МСЭКтин кошумча корутундусу/Дополнительное заключение МСЭК:______________________________________________________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Башка адамдын туруктуу багуусуна/башка адамдын багуусуна жана көзөмөлүнө дайыма чейинки мөөнөткө муктаж/Нуждается в постоянном постороннем уходе/постороннем уходе и надзоре сроком до:__________________________________________________________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Кыймылдын техникалык каражаттарына муктаж (кресло-коляска, велоколяска)/Нуждается в технических средствах передвижения (кресло-коляска, велоколяска):__________________________________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Социалдык стационардык мекемеге жөнөтүүгө муктаж/Нуждается в направлении в социальное стационарное учреждение:_______________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Кесиптик эмгекке жарамдуулугун жоготуу даражасын (пайыз менен) аныктоо, жардамдын кошумча түрүнө муктаждыгын аныктоо/Определение степени утраты профессиональной трудоспособности (в процентах), нуждаемости в дополнительных видах помощи:_______________________________________________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КЭЖК чейинки мөөнөткө белгиленет/УТП установлена на срок до__________________________________________________________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Эмгек шарттары жөнүндө корутунду/Заключение об условиях труда:</w:t>
      </w:r>
    </w:p>
    <w:p>
      <w:pPr>
        <w:spacing w:after="120"/>
        <w:ind w:firstLine="567"/>
        <w:jc w:val="both"/>
      </w:pPr>
      <w:r>
        <w:rPr>
          <w:rFonts w:ascii="Arial" w:cs="Arial" w:eastAsia="Arial" w:hAnsi="Arial"/>
          <w:sz w:val="24"/>
          <w:szCs w:val="24"/>
        </w:rPr>
        <w:t xml:space="preserve">____________________________________________________________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Реабилитация, абилитация боюнча сунуштар/Рекомендации по реабилитации, абилитации:_____________________________________</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Берилген датасы/Дата выдачи: __________________________________</w:t>
      </w:r>
    </w:p>
    <w:p>
      <w:pPr>
        <w:spacing w:after="120"/>
        <w:ind w:firstLine="567"/>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«Приложение
 к Критериям для установления категории 
 «Ребенок с инвалидностью» детям до 18 лет</w:t>
      </w:r>
    </w:p>
    <w:p>
      <w:pPr>
        <w:spacing w:after="240" w:before="200"/>
        <w:ind w:firstLine="397"/>
        <w:jc w:val="center"/>
      </w:pPr>
      <w:r>
        <w:rPr>
          <w:rFonts w:ascii="Arial" w:cs="Arial" w:eastAsia="Arial" w:hAnsi="Arial"/>
          <w:b/>
          <w:bCs/>
          <w:sz w:val="24"/>
          <w:szCs w:val="24"/>
        </w:rPr>
        <w:t xml:space="preserve">Кыргыз Республикасынын Эмгек, социалдык камсыздоо жана миграция министрлигине караштуу Республикалык медициналык-социалдык экспертизалоо борбору</w:t>
      </w:r>
    </w:p>
    <w:p>
      <w:pPr>
        <w:spacing w:after="24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Республиканский центр медико-социальной экспертизы при Министерстве труда, социального обеспечения и миграции Кыргызской Республики</w:t>
      </w:r>
    </w:p>
    <w:p>
      <w:pPr>
        <w:spacing w:after="24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18 жашка чейинки майыптыгы бар балага МСЭКтин маалымкаты/</w:t>
      </w:r>
    </w:p>
    <w:p>
      <w:pPr>
        <w:spacing w:after="240" w:before="200"/>
        <w:ind w:firstLine="397"/>
        <w:jc w:val="center"/>
      </w:pPr>
      <w:r>
        <w:rPr>
          <w:rFonts w:ascii="Arial" w:cs="Arial" w:eastAsia="Arial" w:hAnsi="Arial"/>
          <w:b/>
          <w:bCs/>
          <w:sz w:val="24"/>
          <w:szCs w:val="24"/>
        </w:rPr>
        <w:t xml:space="preserve">Справка МСЭК на ребенка с инвалидностью в возрасте до 18 лет</w:t>
      </w:r>
    </w:p>
    <w:p>
      <w:pPr>
        <w:spacing w:after="240" w:before="200"/>
        <w:ind w:firstLine="397"/>
        <w:jc w:val="center"/>
      </w:pPr>
      <w:r>
        <w:rPr>
          <w:rFonts w:ascii="Arial" w:cs="Arial" w:eastAsia="Arial" w:hAnsi="Arial"/>
          <w:sz w:val="24"/>
          <w:szCs w:val="24"/>
        </w:rPr>
        <w:t xml:space="preserve"/>
      </w:r>
    </w:p>
    <w:p>
      <w:pPr>
        <w:spacing w:after="240" w:before="200"/>
        <w:ind w:firstLine="397"/>
        <w:jc w:val="center"/>
      </w:pPr>
      <w:r>
        <w:rPr>
          <w:rFonts w:ascii="Arial" w:cs="Arial" w:eastAsia="Arial" w:hAnsi="Arial"/>
          <w:b/>
          <w:bCs/>
          <w:sz w:val="24"/>
          <w:szCs w:val="24"/>
        </w:rPr>
        <w:t xml:space="preserve">Негиз: 20___-жылдын «___» _______№ _______</w:t>
      </w:r>
    </w:p>
    <w:p>
      <w:pPr>
        <w:spacing w:after="240" w:before="200"/>
        <w:ind w:firstLine="397"/>
        <w:jc w:val="center"/>
      </w:pPr>
      <w:r>
        <w:rPr>
          <w:rFonts w:ascii="Arial" w:cs="Arial" w:eastAsia="Arial" w:hAnsi="Arial"/>
          <w:b/>
          <w:bCs/>
          <w:sz w:val="24"/>
          <w:szCs w:val="24"/>
        </w:rPr>
        <w:t xml:space="preserve">Күбөлөндүрүү актысы</w:t>
      </w:r>
    </w:p>
    <w:p>
      <w:pPr>
        <w:spacing w:after="240" w:before="200"/>
        <w:ind w:firstLine="397"/>
        <w:jc w:val="center"/>
      </w:pPr>
      <w:r>
        <w:rPr>
          <w:rFonts w:ascii="Arial" w:cs="Arial" w:eastAsia="Arial" w:hAnsi="Arial"/>
          <w:b/>
          <w:bCs/>
          <w:sz w:val="24"/>
          <w:szCs w:val="24"/>
        </w:rPr>
        <w:t xml:space="preserve">Основание: акт освидетельствования 
  №____от «_____» 20____года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Облусу/Область:_________район/район:_________шаары/город:_____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Медициналык-социалдык эксперттик комиссиясынын түрү, профили/ </w:t>
      </w:r>
    </w:p>
    <w:p>
      <w:pPr>
        <w:spacing w:after="120"/>
        <w:ind w:firstLine="397"/>
        <w:jc w:val="both"/>
      </w:pPr>
      <w:r>
        <w:rPr>
          <w:rFonts w:ascii="Arial" w:cs="Arial" w:eastAsia="Arial" w:hAnsi="Arial"/>
          <w:sz w:val="24"/>
          <w:szCs w:val="24"/>
        </w:rPr>
        <w:t xml:space="preserve">Вид, профиль медико-социальной экспертной комиссии:____________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Баланын аты-жөнү/Ф.И.О. ребенка: ______________________________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Туулган жылы/Дата рождения:__________________________________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Күбөлөндүрүү датасы/Дата освидетельствования:__________________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Баланын ата-энесинин же камкорчусунун аты-жөнү/Ф.И.О. родителя или опекуна:_________________________________________________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Ата-энесинин же камкорчусунун жашаган дареги/Адрес проживания родителя или опекуна:_________________________________________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Диагнозу/Диагноз:____________________________________________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МСЭКтин корутундусу: “Майыптыгы бар бала” категориясы белгиленди (биринчи жолу, кайрадан)/Заключение МСЭК: установлена категория «Ребенок с инвалидностью» (впервые, повторно):__________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МСЭКтин кошумча корутундусу/Дополнительное заключение МСЭК:</w:t>
      </w:r>
    </w:p>
    <w:p>
      <w:pPr>
        <w:spacing w:after="120"/>
        <w:ind w:firstLine="397"/>
        <w:jc w:val="both"/>
      </w:pPr>
      <w:r>
        <w:rPr>
          <w:rFonts w:ascii="Arial" w:cs="Arial" w:eastAsia="Arial" w:hAnsi="Arial"/>
          <w:sz w:val="24"/>
          <w:szCs w:val="24"/>
        </w:rPr>
        <w:t xml:space="preserve">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Майыптык чейинки мөөнөткө белгиленди/Инвалидность установлена на срок до: 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Башка адамдын туруктуу багуусуна/башка адамдын багуусуна жана көзөмөлүнө дайыма чейинки мөөнөткө муктаж/Нуждается в постоянном постороннем уходе/постороннем уходе и надзоре сроком до:__________________________________________________________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Кыймылдын техникалык каражаттарына муктаж (кресло-коляска, велоколяска)/Нуждается в технических средствах передвижения (кресло-коляска, велоколяска):__________________________________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Социалдык стационардык мекемеге жөнөтүүгө муктаж/Нуждается в направлении в социальное стационарное учреждение:_______________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Кезектеги кайра күбөлөндүрүү датасы/Дата очередного переосвидетельствования: 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Майып болуу убактысы эсептелген/Время наступления инвалидности зачесть:_____________________________________________________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Реабилитация, абилитация боюнча сунуштар/Рекомендации по реабилитации, абилитации:_____________________________________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Берилген датасы/ Дата выдачи:__________________________________</w:t>
      </w:r>
    </w:p>
    <w:p>
      <w:pPr>
        <w:spacing w:after="120"/>
        <w:ind w:firstLine="397"/>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6eafm-tqvtnowf_lnhz6">
      <w:r>
        <w:rPr>
          <w:rFonts w:ascii="Arial" w:cs="Arial" w:eastAsia="Arial" w:hAnsi="Arial"/>
          <w:color w:val="132D3F"/>
          <w:sz w:val="16"/>
          <w:szCs w:val="16"/>
          <w:u w:val="single"/>
        </w:rPr>
        <w:t xml:space="preserve">dalil.kg/document/230046490</w:t>
      </w:r>
    </w:hyperlink>
  </w:p>
  <w:p>
    <w:pPr>
      <w:spacing w:after="0" w:before="40"/>
      <w:jc w:val="center"/>
    </w:pPr>
    <w:hyperlink w:history="1" r:id="rIdpkf2h1sfpwwgms9sfouh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lrbisv7krsfyzqqp5n1n" Type="http://schemas.openxmlformats.org/officeDocument/2006/relationships/hyperlink" Target="https://dalil.kg/document/112301#st_13" TargetMode="External"/><Relationship Id="rIdda-ibxjkjef3vnhggxjov" Type="http://schemas.openxmlformats.org/officeDocument/2006/relationships/hyperlink" Target="https://dalil.kg/document/112301#st_17" TargetMode="External"/><Relationship Id="rIdmwt4e1iedjgmyq6gxehkl" Type="http://schemas.openxmlformats.org/officeDocument/2006/relationships/hyperlink" Target="https://dalil.kg/document/230026442" TargetMode="External"/><Relationship Id="rId_ulkyvpwn1cwihlfa8g6u" Type="http://schemas.openxmlformats.org/officeDocument/2006/relationships/hyperlink" Target="https://dalil.kg/document/230031616" TargetMode="External"/><Relationship Id="rIdj_jjcssijlbeciwkkuk2l" Type="http://schemas.openxmlformats.org/officeDocument/2006/relationships/hyperlink" Target="https://dalil.kg/document/230046490#pr1" TargetMode="External"/><Relationship Id="rIdjo-mzt7xu3otuksibzjci" Type="http://schemas.openxmlformats.org/officeDocument/2006/relationships/hyperlink" Target="https://dalil.kg/document/230046490#pr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6eafm-tqvtnowf_lnhz6" Type="http://schemas.openxmlformats.org/officeDocument/2006/relationships/hyperlink" Target="https://dalil.kg/document/230046490" TargetMode="External"/><Relationship Id="rIdpkf2h1sfpwwgms9sfouh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2026-09-25T09:57:26.256Z</dcterms:created>
  <dcterms:modified xsi:type="dcterms:W3CDTF">2026-09-25T09:57:26.256Z</dcterms:modified>
</cp:coreProperties>
</file>

<file path=docProps/custom.xml><?xml version="1.0" encoding="utf-8"?>
<Properties xmlns="http://schemas.openxmlformats.org/officeDocument/2006/custom-properties" xmlns:vt="http://schemas.openxmlformats.org/officeDocument/2006/docPropsVTypes"/>
</file>