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157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 в Указ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«Об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утверждении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жилищной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 Кыргызской Республики «Менин үйүм» 
 от 17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июля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2024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191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системы</w:t>
      </w:r>
      <w:r>
        <w:rPr>
          <w:rFonts w:ascii="Arial" w:cs="Arial" w:eastAsia="Arial" w:hAnsi="Arial"/>
          <w:sz w:val="24"/>
          <w:szCs w:val="24"/>
        </w:rPr>
        <w:t xml:space="preserve">жилищного</w:t>
      </w:r>
      <w:r>
        <w:rPr>
          <w:rFonts w:ascii="Arial" w:cs="Arial" w:eastAsia="Arial" w:hAnsi="Arial"/>
          <w:sz w:val="24"/>
          <w:szCs w:val="24"/>
        </w:rPr>
        <w:t xml:space="preserve">финансирования</w:t>
      </w:r>
      <w:r>
        <w:rPr>
          <w:rFonts w:ascii="Arial" w:cs="Arial" w:eastAsia="Arial" w:hAnsi="Arial"/>
          <w:sz w:val="24"/>
          <w:szCs w:val="24"/>
        </w:rPr>
        <w:t xml:space="preserve">и предоставления гражданам Кыргызской Республики возможности приобретения</w:t>
      </w:r>
      <w:r>
        <w:rPr>
          <w:rFonts w:ascii="Arial" w:cs="Arial" w:eastAsia="Arial" w:hAnsi="Arial"/>
          <w:sz w:val="24"/>
          <w:szCs w:val="24"/>
        </w:rPr>
        <w:t xml:space="preserve">жилья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льготных</w:t>
      </w:r>
      <w:r>
        <w:rPr>
          <w:rFonts w:ascii="Arial" w:cs="Arial" w:eastAsia="Arial" w:hAnsi="Arial"/>
          <w:sz w:val="24"/>
          <w:szCs w:val="24"/>
        </w:rPr>
        <w:t xml:space="preserve">условиях,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05w0osso2w3-_ygukha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w_0wef0qobibtnsz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k-hzgw5lpcwehqyyqz2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государственной жилищной программы Кыргызской Республики «Менин үйүм» от 17 июля 2024 года № 191 следующие </w:t>
      </w:r>
      <w:r>
        <w:rPr>
          <w:rFonts w:ascii="Arial" w:cs="Arial" w:eastAsia="Arial" w:hAnsi="Arial"/>
          <w:sz w:val="24"/>
          <w:szCs w:val="24"/>
        </w:rPr>
        <w:t xml:space="preserve">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  <w:r>
        <w:rPr>
          <w:rFonts w:ascii="Arial" w:cs="Arial" w:eastAsia="Arial" w:hAnsi="Arial"/>
          <w:sz w:val="24"/>
          <w:szCs w:val="24"/>
        </w:rPr>
        <w:t xml:space="preserve">жилищной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«Менин</w:t>
      </w:r>
      <w:r>
        <w:rPr>
          <w:rFonts w:ascii="Arial" w:cs="Arial" w:eastAsia="Arial" w:hAnsi="Arial"/>
          <w:sz w:val="24"/>
          <w:szCs w:val="24"/>
        </w:rPr>
        <w:t xml:space="preserve">үйүм»,</w:t>
      </w:r>
      <w:r>
        <w:rPr>
          <w:rFonts w:ascii="Arial" w:cs="Arial" w:eastAsia="Arial" w:hAnsi="Arial"/>
          <w:sz w:val="24"/>
          <w:szCs w:val="24"/>
        </w:rPr>
        <w:t xml:space="preserve">утвержденной</w:t>
      </w:r>
      <w:r>
        <w:rPr>
          <w:rFonts w:ascii="Arial" w:cs="Arial" w:eastAsia="Arial" w:hAnsi="Arial"/>
          <w:sz w:val="24"/>
          <w:szCs w:val="24"/>
        </w:rPr>
        <w:t xml:space="preserve">вышеназванным</w:t>
      </w:r>
      <w:hyperlink w:history="1" r:id="rId6grrsiet76de_5oyamu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</w:t>
      </w:r>
      <w:r>
        <w:rPr>
          <w:rFonts w:ascii="Arial" w:cs="Arial" w:eastAsia="Arial" w:hAnsi="Arial"/>
          <w:sz w:val="24"/>
          <w:szCs w:val="24"/>
        </w:rPr>
        <w:t xml:space="preserve">ункт 16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 будет предоставлена возможность приобретения</w:t>
      </w:r>
      <w:r>
        <w:rPr>
          <w:rFonts w:ascii="Arial" w:cs="Arial" w:eastAsia="Arial" w:hAnsi="Arial"/>
          <w:sz w:val="24"/>
          <w:szCs w:val="24"/>
        </w:rPr>
        <w:t xml:space="preserve">жилья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условиях</w:t>
      </w:r>
      <w:r>
        <w:rPr>
          <w:rFonts w:ascii="Arial" w:cs="Arial" w:eastAsia="Arial" w:hAnsi="Arial"/>
          <w:sz w:val="24"/>
          <w:szCs w:val="24"/>
        </w:rPr>
        <w:t xml:space="preserve">настоящей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 с решениями Правления ГИК;»;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профильным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муниципальным</w:t>
      </w:r>
      <w:r>
        <w:rPr>
          <w:rFonts w:ascii="Arial" w:cs="Arial" w:eastAsia="Arial" w:hAnsi="Arial"/>
          <w:sz w:val="24"/>
          <w:szCs w:val="24"/>
        </w:rPr>
        <w:t xml:space="preserve">предприятиям,</w:t>
      </w:r>
      <w:r>
        <w:rPr>
          <w:rFonts w:ascii="Arial" w:cs="Arial" w:eastAsia="Arial" w:hAnsi="Arial"/>
          <w:sz w:val="24"/>
          <w:szCs w:val="24"/>
        </w:rPr>
        <w:t xml:space="preserve">а также органам местного самоуправления обеспечить безотлагательный и безвозмездный прием на</w:t>
      </w:r>
      <w:r>
        <w:rPr>
          <w:rFonts w:ascii="Arial" w:cs="Arial" w:eastAsia="Arial" w:hAnsi="Arial"/>
          <w:sz w:val="24"/>
          <w:szCs w:val="24"/>
        </w:rPr>
        <w:t xml:space="preserve">баланс</w:t>
      </w:r>
      <w:r>
        <w:rPr>
          <w:rFonts w:ascii="Arial" w:cs="Arial" w:eastAsia="Arial" w:hAnsi="Arial"/>
          <w:sz w:val="24"/>
          <w:szCs w:val="24"/>
        </w:rPr>
        <w:t xml:space="preserve">инженерных сооружений, возведенных для функционирования объектов ГИК (включая котельные, трансформаторные подстанции, локальные очистные сооружения/септики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иные</w:t>
      </w:r>
      <w:r>
        <w:rPr>
          <w:rFonts w:ascii="Arial" w:cs="Arial" w:eastAsia="Arial" w:hAnsi="Arial"/>
          <w:sz w:val="24"/>
          <w:szCs w:val="24"/>
        </w:rPr>
        <w:t xml:space="preserve">внешние</w:t>
      </w:r>
      <w:r>
        <w:rPr>
          <w:rFonts w:ascii="Arial" w:cs="Arial" w:eastAsia="Arial" w:hAnsi="Arial"/>
          <w:sz w:val="24"/>
          <w:szCs w:val="24"/>
        </w:rPr>
        <w:t xml:space="preserve">инженерные</w:t>
      </w:r>
      <w:r>
        <w:rPr>
          <w:rFonts w:ascii="Arial" w:cs="Arial" w:eastAsia="Arial" w:hAnsi="Arial"/>
          <w:sz w:val="24"/>
          <w:szCs w:val="24"/>
        </w:rPr>
        <w:t xml:space="preserve">сети) в целях</w:t>
      </w:r>
      <w:r>
        <w:rPr>
          <w:rFonts w:ascii="Arial" w:cs="Arial" w:eastAsia="Arial" w:hAnsi="Arial"/>
          <w:sz w:val="24"/>
          <w:szCs w:val="24"/>
        </w:rPr>
        <w:t xml:space="preserve">дальнейшей</w:t>
      </w:r>
      <w:r>
        <w:rPr>
          <w:rFonts w:ascii="Arial" w:cs="Arial" w:eastAsia="Arial" w:hAnsi="Arial"/>
          <w:sz w:val="24"/>
          <w:szCs w:val="24"/>
        </w:rPr>
        <w:t xml:space="preserve">эксплуатации и технического обслуживания;»;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3) в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оперативного</w:t>
      </w:r>
      <w:r>
        <w:rPr>
          <w:rFonts w:ascii="Arial" w:cs="Arial" w:eastAsia="Arial" w:hAnsi="Arial"/>
          <w:sz w:val="24"/>
          <w:szCs w:val="24"/>
        </w:rPr>
        <w:t xml:space="preserve">расширения</w:t>
      </w:r>
      <w:r>
        <w:rPr>
          <w:rFonts w:ascii="Arial" w:cs="Arial" w:eastAsia="Arial" w:hAnsi="Arial"/>
          <w:sz w:val="24"/>
          <w:szCs w:val="24"/>
        </w:rPr>
        <w:t xml:space="preserve">охвата</w:t>
      </w:r>
      <w:r>
        <w:rPr>
          <w:rFonts w:ascii="Arial" w:cs="Arial" w:eastAsia="Arial" w:hAnsi="Arial"/>
          <w:sz w:val="24"/>
          <w:szCs w:val="24"/>
        </w:rPr>
        <w:t xml:space="preserve">жилищного</w:t>
      </w:r>
      <w:r>
        <w:rPr>
          <w:rFonts w:ascii="Arial" w:cs="Arial" w:eastAsia="Arial" w:hAnsi="Arial"/>
          <w:sz w:val="24"/>
          <w:szCs w:val="24"/>
        </w:rPr>
        <w:t xml:space="preserve">строительства </w:t>
      </w:r>
      <w:r>
        <w:rPr>
          <w:rFonts w:ascii="Arial" w:cs="Arial" w:eastAsia="Arial" w:hAnsi="Arial"/>
          <w:sz w:val="24"/>
          <w:szCs w:val="24"/>
        </w:rPr>
        <w:t xml:space="preserve">будут </w:t>
      </w:r>
      <w:r>
        <w:rPr>
          <w:rFonts w:ascii="Arial" w:cs="Arial" w:eastAsia="Arial" w:hAnsi="Arial"/>
          <w:sz w:val="24"/>
          <w:szCs w:val="24"/>
        </w:rPr>
        <w:t xml:space="preserve">привлече</w:t>
      </w:r>
      <w:r>
        <w:rPr>
          <w:rFonts w:ascii="Arial" w:cs="Arial" w:eastAsia="Arial" w:hAnsi="Arial"/>
          <w:sz w:val="24"/>
          <w:szCs w:val="24"/>
        </w:rPr>
        <w:t xml:space="preserve">ны частные партнеры</w:t>
      </w:r>
      <w:r>
        <w:rPr>
          <w:rFonts w:ascii="Arial" w:cs="Arial" w:eastAsia="Arial" w:hAnsi="Arial"/>
          <w:sz w:val="24"/>
          <w:szCs w:val="24"/>
        </w:rPr>
        <w:t xml:space="preserve"> путем заключения</w:t>
      </w:r>
      <w:r>
        <w:rPr>
          <w:rFonts w:ascii="Arial" w:cs="Arial" w:eastAsia="Arial" w:hAnsi="Arial"/>
          <w:sz w:val="24"/>
          <w:szCs w:val="24"/>
        </w:rPr>
        <w:t xml:space="preserve">соглашений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совместной деятельности</w:t>
      </w:r>
      <w:r>
        <w:rPr>
          <w:rFonts w:ascii="Arial" w:cs="Arial" w:eastAsia="Arial" w:hAnsi="Arial"/>
          <w:sz w:val="24"/>
          <w:szCs w:val="24"/>
        </w:rPr>
        <w:t xml:space="preserve">без проведения конкурсных процедур (методом прямых переговоров) по решению Совета директоров ГИК;»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18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стоимость объектов </w:t>
      </w:r>
      <w:r>
        <w:rPr>
          <w:rFonts w:ascii="Arial" w:cs="Arial" w:eastAsia="Arial" w:hAnsi="Arial"/>
          <w:sz w:val="24"/>
          <w:szCs w:val="24"/>
        </w:rPr>
        <w:t xml:space="preserve">нежило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фонд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ГИК </w:t>
      </w:r>
      <w:r>
        <w:rPr>
          <w:rFonts w:ascii="Arial" w:cs="Arial" w:eastAsia="Arial" w:hAnsi="Arial"/>
          <w:sz w:val="24"/>
          <w:szCs w:val="24"/>
        </w:rPr>
        <w:t xml:space="preserve">устанавливается</w:t>
      </w:r>
      <w:r>
        <w:rPr>
          <w:rFonts w:ascii="Arial" w:cs="Arial" w:eastAsia="Arial" w:hAnsi="Arial"/>
          <w:sz w:val="24"/>
          <w:szCs w:val="24"/>
        </w:rPr>
        <w:t xml:space="preserve">решением </w:t>
      </w:r>
      <w:r>
        <w:rPr>
          <w:rFonts w:ascii="Arial" w:cs="Arial" w:eastAsia="Arial" w:hAnsi="Arial"/>
          <w:sz w:val="24"/>
          <w:szCs w:val="24"/>
        </w:rPr>
        <w:t xml:space="preserve">Совет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директоров ГИК.»;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признать</w:t>
      </w:r>
      <w:r>
        <w:rPr>
          <w:rFonts w:ascii="Arial" w:cs="Arial" w:eastAsia="Arial" w:hAnsi="Arial"/>
          <w:sz w:val="24"/>
          <w:szCs w:val="24"/>
        </w:rPr>
        <w:t xml:space="preserve">утратившим</w:t>
      </w:r>
      <w:r>
        <w:rPr>
          <w:rFonts w:ascii="Arial" w:cs="Arial" w:eastAsia="Arial" w:hAnsi="Arial"/>
          <w:sz w:val="24"/>
          <w:szCs w:val="24"/>
        </w:rPr>
        <w:t xml:space="preserve"> силу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отбора</w:t>
      </w:r>
      <w:r>
        <w:rPr>
          <w:rFonts w:ascii="Arial" w:cs="Arial" w:eastAsia="Arial" w:hAnsi="Arial"/>
          <w:sz w:val="24"/>
          <w:szCs w:val="24"/>
        </w:rPr>
        <w:t xml:space="preserve">участников</w:t>
      </w:r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  <w:r>
        <w:rPr>
          <w:rFonts w:ascii="Arial" w:cs="Arial" w:eastAsia="Arial" w:hAnsi="Arial"/>
          <w:sz w:val="24"/>
          <w:szCs w:val="24"/>
        </w:rPr>
        <w:t xml:space="preserve">жилищной</w:t>
      </w:r>
      <w:r>
        <w:rPr>
          <w:rFonts w:ascii="Arial" w:cs="Arial" w:eastAsia="Arial" w:hAnsi="Arial"/>
          <w:sz w:val="24"/>
          <w:szCs w:val="24"/>
        </w:rPr>
        <w:t xml:space="preserve">программы Кыргызской Республики «Менин үйүм», утвержденной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подпунктом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нежилое</w:t>
      </w:r>
      <w:r>
        <w:rPr>
          <w:rFonts w:ascii="Arial" w:cs="Arial" w:eastAsia="Arial" w:hAnsi="Arial"/>
          <w:sz w:val="24"/>
          <w:szCs w:val="24"/>
        </w:rPr>
        <w:t xml:space="preserve">помещение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коммерческие</w:t>
      </w:r>
      <w:r>
        <w:rPr>
          <w:rFonts w:ascii="Arial" w:cs="Arial" w:eastAsia="Arial" w:hAnsi="Arial"/>
          <w:sz w:val="24"/>
          <w:szCs w:val="24"/>
        </w:rPr>
        <w:t xml:space="preserve">помещения,</w:t>
      </w:r>
      <w:r>
        <w:rPr>
          <w:rFonts w:ascii="Arial" w:cs="Arial" w:eastAsia="Arial" w:hAnsi="Arial"/>
          <w:sz w:val="24"/>
          <w:szCs w:val="24"/>
        </w:rPr>
        <w:t xml:space="preserve">цокольные</w:t>
      </w:r>
      <w:r>
        <w:rPr>
          <w:rFonts w:ascii="Arial" w:cs="Arial" w:eastAsia="Arial" w:hAnsi="Arial"/>
          <w:sz w:val="24"/>
          <w:szCs w:val="24"/>
        </w:rPr>
        <w:t xml:space="preserve">этажи, надземны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подземны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паркинги</w:t>
      </w:r>
      <w:r>
        <w:rPr>
          <w:rFonts w:ascii="Arial" w:cs="Arial" w:eastAsia="Arial" w:hAnsi="Arial"/>
          <w:sz w:val="24"/>
          <w:szCs w:val="24"/>
        </w:rPr>
        <w:t xml:space="preserve">, кладовое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техническое помещения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построенные</w:t>
      </w:r>
      <w:r>
        <w:rPr>
          <w:rFonts w:ascii="Arial" w:cs="Arial" w:eastAsia="Arial" w:hAnsi="Arial"/>
          <w:sz w:val="24"/>
          <w:szCs w:val="24"/>
        </w:rPr>
        <w:t xml:space="preserve">в рамках государственной жилищной программы;»;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3 дополнить абзацем следующего 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выпускники</w:t>
      </w:r>
      <w:r>
        <w:rPr>
          <w:rFonts w:ascii="Arial" w:cs="Arial" w:eastAsia="Arial" w:hAnsi="Arial"/>
          <w:sz w:val="24"/>
          <w:szCs w:val="24"/>
        </w:rPr>
        <w:t xml:space="preserve">детских</w:t>
      </w:r>
      <w:r>
        <w:rPr>
          <w:rFonts w:ascii="Arial" w:cs="Arial" w:eastAsia="Arial" w:hAnsi="Arial"/>
          <w:sz w:val="24"/>
          <w:szCs w:val="24"/>
        </w:rPr>
        <w:t xml:space="preserve">домов</w:t>
      </w:r>
      <w:r>
        <w:rPr>
          <w:rFonts w:ascii="Arial" w:cs="Arial" w:eastAsia="Arial" w:hAnsi="Arial"/>
          <w:sz w:val="24"/>
          <w:szCs w:val="24"/>
        </w:rPr>
        <w:t xml:space="preserve"> – круглые сироты (с момента достижения совершеннолетнего возраста).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министерствам и ведомствам, участвовавшим в формировании жилого фонда ГИК (в том числе посредством строительства, привлечения финансовых ресурсов, финансирования либо передачи объектов недвижимости на баланс ГИК на безвозмездной или возмездной основе), предоставляется</w:t>
      </w:r>
      <w:r>
        <w:rPr>
          <w:rFonts w:ascii="Arial" w:cs="Arial" w:eastAsia="Arial" w:hAnsi="Arial"/>
          <w:sz w:val="24"/>
          <w:szCs w:val="24"/>
        </w:rPr>
        <w:t xml:space="preserve">первоочередное</w:t>
      </w:r>
      <w:r>
        <w:rPr>
          <w:rFonts w:ascii="Arial" w:cs="Arial" w:eastAsia="Arial" w:hAnsi="Arial"/>
          <w:sz w:val="24"/>
          <w:szCs w:val="24"/>
        </w:rPr>
        <w:t xml:space="preserve">право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жилищного </w:t>
      </w:r>
      <w:r>
        <w:rPr>
          <w:rFonts w:ascii="Arial" w:cs="Arial" w:eastAsia="Arial" w:hAnsi="Arial"/>
          <w:sz w:val="24"/>
          <w:szCs w:val="24"/>
        </w:rPr>
        <w:t xml:space="preserve">финансирования без применения процедуры формирования списков участников Программы, предоставление квоты определяется решением Совета директоров ГИК и составляет:</w:t>
      </w:r>
    </w:p>
    <w:p>
      <w:pPr>
        <w:spacing w:before="1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10 процентов от общего количества квартир в конкретном объекте, расположенном в городе Бишкек;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20 процентов от общего количества квартир в конкретном объекте,</w:t>
      </w:r>
      <w:r>
        <w:rPr>
          <w:rFonts w:ascii="Arial" w:cs="Arial" w:eastAsia="Arial" w:hAnsi="Arial"/>
          <w:sz w:val="24"/>
          <w:szCs w:val="24"/>
        </w:rPr>
        <w:t xml:space="preserve">расположенном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регионах;»;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 рамках механизмов капитального ремонта и расширения имеющегося</w:t>
      </w:r>
      <w:r>
        <w:rPr>
          <w:rFonts w:ascii="Arial" w:cs="Arial" w:eastAsia="Arial" w:hAnsi="Arial"/>
          <w:sz w:val="24"/>
          <w:szCs w:val="24"/>
        </w:rPr>
        <w:t xml:space="preserve">жилья</w:t>
      </w:r>
      <w:r>
        <w:rPr>
          <w:rFonts w:ascii="Arial" w:cs="Arial" w:eastAsia="Arial" w:hAnsi="Arial"/>
          <w:sz w:val="24"/>
          <w:szCs w:val="24"/>
        </w:rPr>
        <w:t xml:space="preserve">допускается</w:t>
      </w:r>
      <w:r>
        <w:rPr>
          <w:rFonts w:ascii="Arial" w:cs="Arial" w:eastAsia="Arial" w:hAnsi="Arial"/>
          <w:sz w:val="24"/>
          <w:szCs w:val="24"/>
        </w:rPr>
        <w:t xml:space="preserve">участие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граждан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имеющих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наличии</w:t>
      </w:r>
      <w:r>
        <w:rPr>
          <w:rFonts w:ascii="Arial" w:cs="Arial" w:eastAsia="Arial" w:hAnsi="Arial"/>
          <w:sz w:val="24"/>
          <w:szCs w:val="24"/>
        </w:rPr>
        <w:t xml:space="preserve">собственное</w:t>
      </w:r>
      <w:r>
        <w:rPr>
          <w:rFonts w:ascii="Arial" w:cs="Arial" w:eastAsia="Arial" w:hAnsi="Arial"/>
          <w:sz w:val="24"/>
          <w:szCs w:val="24"/>
        </w:rPr>
        <w:t xml:space="preserve">жилье.</w:t>
      </w:r>
      <w:r>
        <w:rPr>
          <w:rFonts w:ascii="Arial" w:cs="Arial" w:eastAsia="Arial" w:hAnsi="Arial"/>
          <w:sz w:val="24"/>
          <w:szCs w:val="24"/>
        </w:rPr>
        <w:t xml:space="preserve">Критерии</w:t>
      </w:r>
      <w:r>
        <w:rPr>
          <w:rFonts w:ascii="Arial" w:cs="Arial" w:eastAsia="Arial" w:hAnsi="Arial"/>
          <w:sz w:val="24"/>
          <w:szCs w:val="24"/>
        </w:rPr>
        <w:t xml:space="preserve">отбора</w:t>
      </w:r>
      <w:r>
        <w:rPr>
          <w:rFonts w:ascii="Arial" w:cs="Arial" w:eastAsia="Arial" w:hAnsi="Arial"/>
          <w:sz w:val="24"/>
          <w:szCs w:val="24"/>
        </w:rPr>
        <w:t xml:space="preserve">и условия жилищного финансирования 
 по механизмам будут разрабатываться и утверждаться решениями </w:t>
      </w:r>
      <w:r>
        <w:rPr>
          <w:rFonts w:ascii="Arial" w:cs="Arial" w:eastAsia="Arial" w:hAnsi="Arial"/>
          <w:sz w:val="24"/>
          <w:szCs w:val="24"/>
        </w:rPr>
        <w:t xml:space="preserve">Правления </w:t>
      </w:r>
      <w:r>
        <w:rPr>
          <w:rFonts w:ascii="Arial" w:cs="Arial" w:eastAsia="Arial" w:hAnsi="Arial"/>
          <w:sz w:val="24"/>
          <w:szCs w:val="24"/>
        </w:rPr>
        <w:t xml:space="preserve">ГИК;»;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Электронную форму заявки на участие в Программе граждане подают путем регистрации на официальном веб-сайте ГИК,</w:t>
      </w:r>
      <w:r>
        <w:rPr>
          <w:rFonts w:ascii="Arial" w:cs="Arial" w:eastAsia="Arial" w:hAnsi="Arial"/>
          <w:sz w:val="24"/>
          <w:szCs w:val="24"/>
        </w:rPr>
        <w:t xml:space="preserve"> государственном портале электронных услуг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Түндүк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и других приложени</w:t>
      </w:r>
      <w:r>
        <w:rPr>
          <w:rFonts w:ascii="Arial" w:cs="Arial" w:eastAsia="Arial" w:hAnsi="Arial"/>
          <w:sz w:val="24"/>
          <w:szCs w:val="24"/>
        </w:rPr>
        <w:t xml:space="preserve">ях.»;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пункты</w:t>
      </w:r>
      <w:r>
        <w:rPr>
          <w:rFonts w:ascii="Arial" w:cs="Arial" w:eastAsia="Arial" w:hAnsi="Arial"/>
          <w:sz w:val="24"/>
          <w:szCs w:val="24"/>
        </w:rPr>
        <w:t xml:space="preserve">7,</w:t>
      </w:r>
      <w:r>
        <w:rPr>
          <w:rFonts w:ascii="Arial" w:cs="Arial" w:eastAsia="Arial" w:hAnsi="Arial"/>
          <w:sz w:val="24"/>
          <w:szCs w:val="24"/>
        </w:rPr>
        <w:t xml:space="preserve">8,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признать</w:t>
      </w:r>
      <w:r>
        <w:rPr>
          <w:rFonts w:ascii="Arial" w:cs="Arial" w:eastAsia="Arial" w:hAnsi="Arial"/>
          <w:sz w:val="24"/>
          <w:szCs w:val="24"/>
        </w:rPr>
        <w:t xml:space="preserve">утратившими</w:t>
      </w:r>
      <w:r>
        <w:rPr>
          <w:rFonts w:ascii="Arial" w:cs="Arial" w:eastAsia="Arial" w:hAnsi="Arial"/>
          <w:sz w:val="24"/>
          <w:szCs w:val="24"/>
        </w:rPr>
        <w:t xml:space="preserve">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пункта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изложить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следующей</w:t>
      </w:r>
      <w:r>
        <w:rPr>
          <w:rFonts w:ascii="Arial" w:cs="Arial" w:eastAsia="Arial" w:hAnsi="Arial"/>
          <w:sz w:val="24"/>
          <w:szCs w:val="24"/>
        </w:rPr>
        <w:t xml:space="preserve">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граждане, зарегистрировавшиеся на веб-сайте ГИК, могут пройти процедуру удаленной онлайн-идентификации посредством различных платформ,</w:t>
      </w:r>
      <w:r>
        <w:rPr>
          <w:rFonts w:ascii="Arial" w:cs="Arial" w:eastAsia="Arial" w:hAnsi="Arial"/>
          <w:sz w:val="24"/>
          <w:szCs w:val="24"/>
        </w:rPr>
        <w:t xml:space="preserve">предоставляющих</w:t>
      </w:r>
      <w:r>
        <w:rPr>
          <w:rFonts w:ascii="Arial" w:cs="Arial" w:eastAsia="Arial" w:hAnsi="Arial"/>
          <w:sz w:val="24"/>
          <w:szCs w:val="24"/>
        </w:rPr>
        <w:t xml:space="preserve">электронные</w:t>
      </w:r>
      <w:r>
        <w:rPr>
          <w:rFonts w:ascii="Arial" w:cs="Arial" w:eastAsia="Arial" w:hAnsi="Arial"/>
          <w:sz w:val="24"/>
          <w:szCs w:val="24"/>
        </w:rPr>
        <w:t xml:space="preserve">государственные</w:t>
      </w:r>
      <w:r>
        <w:rPr>
          <w:rFonts w:ascii="Arial" w:cs="Arial" w:eastAsia="Arial" w:hAnsi="Arial"/>
          <w:sz w:val="24"/>
          <w:szCs w:val="24"/>
        </w:rPr>
        <w:t xml:space="preserve">и муниципальные услуги, включая мобильные приложения сотовых операторов.»;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</w:t>
      </w:r>
      <w:r>
        <w:rPr>
          <w:rFonts w:ascii="Arial" w:cs="Arial" w:eastAsia="Arial" w:hAnsi="Arial"/>
          <w:sz w:val="24"/>
          <w:szCs w:val="24"/>
        </w:rPr>
        <w:t xml:space="preserve"> главе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"/>
        <w:gridCol w:w="3970"/>
        <w:gridCol w:w="5579"/>
      </w:tblGrid>
      <w:tr>
        <w:tc>
          <w:tcPr>
            <w:tcW w:type="dxa" w:w="6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ипотечного кредита</w:t>
            </w:r>
          </w:p>
        </w:tc>
        <w:tc>
          <w:tcPr>
            <w:tcW w:type="dxa" w:w="5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ипотечного кредита устанавливается исходя из рыночной стоимости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приобретаемого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жилья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с учетом платежеспособности заемщика, также в соответствии с положениями генеральных соглашений ГИК с банками-партнерами.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«Накопительная ипотека» – не более 20 (двадцать) % от стоимости приобретаемого жилья</w:t>
            </w:r>
          </w:p>
        </w:tc>
      </w:tr>
    </w:tbl>
    <w:p>
      <w:pPr>
        <w:spacing w:before="1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"/>
        <w:gridCol w:w="3970"/>
        <w:gridCol w:w="5579"/>
      </w:tblGrid>
      <w:tr>
        <w:tc>
          <w:tcPr>
            <w:tcW w:type="dxa" w:w="6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(собственный вклад)</w:t>
            </w:r>
          </w:p>
        </w:tc>
        <w:tc>
          <w:tcPr>
            <w:tcW w:type="dxa" w:w="5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сумма первоначального взноса по направлениям, в том числе по механизмам жилищного обеспечения по исламским принципам финансирования: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«Социальная ипотека» не менее 
 10 (десять) % от стоимости жилья;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«Льготная ипотека» не менее 
 20 (двадцать) % от стоимости жилья;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«Доступная ипотека» не менее 
 20 (двадцать) % от стоимости жилья.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собственного вклада участника допускается предоставление дополнительного залога по усмотрению банка-партнера, а также применение финансовых инструментов гарантийных фондов.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«Накопительная ипотека» – 30 (тридцать) % от стоимости жилья на депозитном счете участника, открытом в банке-партнере ГИК: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рок вклада не менее 6 месяцев при условии накопления в течение определенного участником периода;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срок вклада не менее 3 месяцев – при условии единовременного внесения денежных средств в размере 30 % от стоимости жилья на накопительный счет сразу при его открытии</w:t>
            </w:r>
          </w:p>
        </w:tc>
      </w:tr>
    </w:tbl>
    <w:p>
      <w:pPr>
        <w:spacing w:after="120"/>
        <w:ind w:firstLine="70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"/>
        <w:gridCol w:w="3970"/>
        <w:gridCol w:w="5579"/>
      </w:tblGrid>
      <w:tr>
        <w:tc>
          <w:tcPr>
            <w:tcW w:type="dxa" w:w="6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ипотечного кредита (залог)</w:t>
            </w:r>
          </w:p>
        </w:tc>
        <w:tc>
          <w:tcPr>
            <w:tcW w:type="dxa" w:w="5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ипотечного кредита может применяться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приобретенное жилье;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земельный участок в период строительства индивидуального жилого дома;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индивидуальный жилой дом, построенный за счет ипотечного кредита;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имущественное право на строящееся жилое помещение на условиях договора долевого строительства в период строительства;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ипотечная гарантия.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опускается замена предмета залога ипотечного кредита при увеличении общей площади жилья за счет собственных средств заемщика, без привлечения дополнительного финансирования со стороны ГИК, с сохранением установленных условий кредитования в рамках ранее действовавших государственных программ.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«Накопительная ипотека» – гарантия/поручительство ГИК в соответствии с заключенным соглашением о сотрудничестве и договором гарантии/поручительства между ГИК и банком-партнером</w:t>
            </w:r>
          </w:p>
        </w:tc>
      </w:tr>
    </w:tbl>
    <w:p>
      <w:pPr>
        <w:spacing w:before="1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Настоящий Указ вступает в силу со дня официального опубликования.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33(3793).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vm2if5iik0teqdew9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dalil.kg/document/230046718</w:t>
      </w:r>
    </w:hyperlink>
  </w:p>
  <w:p>
    <w:pPr>
      <w:spacing w:after="0" w:before="40"/>
      <w:jc w:val="center"/>
    </w:pPr>
    <w:hyperlink w:history="1" r:id="rIdzy1oavkpsrguck4zjyo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w0osso2w3-_ygukhaow" Type="http://schemas.openxmlformats.org/officeDocument/2006/relationships/hyperlink" Target="https://dalil.kg/document/112213#st_66" TargetMode="External"/><Relationship Id="rId1yw_0wef0qobibtnszymt" Type="http://schemas.openxmlformats.org/officeDocument/2006/relationships/hyperlink" Target="https://dalil.kg/document/112213#st_71" TargetMode="External"/><Relationship Id="rIdk-hzgw5lpcwehqyyqz2wy" Type="http://schemas.openxmlformats.org/officeDocument/2006/relationships/hyperlink" Target="https://dalil.kg/document/230012114" TargetMode="External"/><Relationship Id="rId6grrsiet76de_5oyamujr" Type="http://schemas.openxmlformats.org/officeDocument/2006/relationships/hyperlink" Target="https://dalil.kg/document/230012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vm2if5iik0teqdew9uj" Type="http://schemas.openxmlformats.org/officeDocument/2006/relationships/hyperlink" Target="https://dalil.kg/document/230046718" TargetMode="External"/><Relationship Id="rIdzy1oavkpsrguck4zjyo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2026-09-26T07:12:37.155Z</dcterms:created>
  <dcterms:modified xsi:type="dcterms:W3CDTF">2026-09-26T07:12:37.155Z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