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одекс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 правонарушениях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ktdbx1kdknxljnm9i_3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 правонарушениях</w:t>
      </w:r>
      <w:r>
        <w:rPr>
          <w:rFonts w:ascii="Arial" w:cs="Arial" w:eastAsia="Arial" w:hAnsi="Arial"/>
          <w:sz w:val="24"/>
          <w:szCs w:val="24"/>
        </w:rPr>
        <w:t xml:space="preserve">», инициированный Председателем Кабинета Министров Кыргызской Республики (исх. № 26-2350 от 4 марта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43dwk1gfx92s5xeub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dalil.kg/document/230046721</w:t>
      </w:r>
    </w:hyperlink>
  </w:p>
  <w:p>
    <w:pPr>
      <w:spacing w:after="0" w:before="40"/>
      <w:jc w:val="center"/>
    </w:pPr>
    <w:hyperlink w:history="1" r:id="rIdjzgaf3eb_n4v7ayjtg7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dbx1kdknxljnm9i_3kp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43dwk1gfx92s5xeubth" Type="http://schemas.openxmlformats.org/officeDocument/2006/relationships/hyperlink" Target="https://dalil.kg/document/230046721" TargetMode="External"/><Relationship Id="rIdjzgaf3eb_n4v7ayjtg7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2026-09-26T07:14:36.152Z</dcterms:created>
  <dcterms:modified xsi:type="dcterms:W3CDTF">2026-09-26T07:14:36.152Z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