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402-т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государственно-частного партнерства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2026 годы</w:t>
      </w:r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Программы развития государственно-частного партнерства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2026 годы» от 30 июня</w:t>
      </w:r>
      <w:r>
        <w:rPr>
          <w:rFonts w:ascii="Arial" w:cs="Arial" w:eastAsia="Arial" w:hAnsi="Arial"/>
          <w:sz w:val="24"/>
          <w:szCs w:val="24"/>
        </w:rPr>
        <w:t xml:space="preserve">2022 года № 353,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4uv6fygaoyndms_ux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2026 год (далее – План реализации проектов ГЧП)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Министерствам, административным ведомствам, полномочным представителям Президента Кыргызской Республики в областях, мэриям городов,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План реализации проектов ГЧП и обеспечить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своевременное исполнение;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ежеквартально до 10 числа</w:t>
      </w:r>
      <w:r>
        <w:rPr>
          <w:rFonts w:ascii="Arial" w:cs="Arial" w:eastAsia="Arial" w:hAnsi="Arial"/>
          <w:sz w:val="24"/>
          <w:szCs w:val="24"/>
        </w:rPr>
        <w:t xml:space="preserve"> месяца</w:t>
      </w:r>
      <w:r>
        <w:rPr>
          <w:rFonts w:ascii="Arial" w:cs="Arial" w:eastAsia="Arial" w:hAnsi="Arial"/>
          <w:sz w:val="24"/>
          <w:szCs w:val="24"/>
        </w:rPr>
        <w:t xml:space="preserve">, следующего за отчетным периодом, представлять информацию о ходе исполнения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 ежеквартально до 20 числа месяца, следующего за отчетным периодом, представлять информацию о ходе исполнения Плана реализации проектов ГЧП в Администрацию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Установить персональную ответственность руководителей министерств, административных ведомств, полномочных представителей Президента Кыргызской Республики в областях, </w:t>
      </w:r>
      <w:r>
        <w:rPr>
          <w:rFonts w:ascii="Arial" w:cs="Arial" w:eastAsia="Arial" w:hAnsi="Arial"/>
          <w:sz w:val="24"/>
          <w:szCs w:val="24"/>
        </w:rPr>
        <w:t xml:space="preserve">мэров</w:t>
      </w:r>
      <w:r>
        <w:rPr>
          <w:rFonts w:ascii="Arial" w:cs="Arial" w:eastAsia="Arial" w:hAnsi="Arial"/>
          <w:sz w:val="24"/>
          <w:szCs w:val="24"/>
        </w:rPr>
        <w:t xml:space="preserve"> и глав органов местного самоуправления за качественное и своевременное исполнение Плана реализации проектов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b1qenso8fxt1mbvtxz8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18 марта 2025 года № 182-р.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
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vxrhdu5g7dyj_nhv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dalil.kg/document/230046760</w:t>
      </w:r>
    </w:hyperlink>
  </w:p>
  <w:p>
    <w:pPr>
      <w:spacing w:after="0" w:before="40"/>
      <w:jc w:val="center"/>
    </w:pPr>
    <w:hyperlink w:history="1" r:id="rIdgfm1nduuj6o3jxwoe-y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uv6fygaoyndms_uxhyw" Type="http://schemas.openxmlformats.org/officeDocument/2006/relationships/hyperlink" Target="https://dalil.kg/document/230046763" TargetMode="External"/><Relationship Id="rIdb1qenso8fxt1mbvtxz80o" Type="http://schemas.openxmlformats.org/officeDocument/2006/relationships/hyperlink" Target="https://dalil.kg/document/230024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vxrhdu5g7dyj_nhvozp" Type="http://schemas.openxmlformats.org/officeDocument/2006/relationships/hyperlink" Target="https://dalil.kg/document/230046760" TargetMode="External"/><Relationship Id="rIdgfm1nduuj6o3jxwoe-y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2026-09-25T19:04:53.073Z</dcterms:created>
  <dcterms:modified xsi:type="dcterms:W3CDTF">2026-09-25T19:04:53.073Z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