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2026 года № 346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8"/>
          <w:szCs w:val="28"/>
        </w:rPr>
        <w:t xml:space="preserve">О комплексной системе оценки эффективности деятельности аппаратов полномочных представителей Президента Кыргызской Республики в областях,</w:t>
      </w:r>
      <w:r>
        <w:rPr>
          <w:rFonts w:ascii="Arial" w:cs="Arial" w:eastAsia="Arial" w:hAnsi="Arial"/>
          <w:sz w:val="28"/>
          <w:szCs w:val="28"/>
        </w:rPr>
        <w:t xml:space="preserve">мэрий городов Бишкек, Ош, городов областного значения и местных государственных администраций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unarvswejn-ozozsxt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2026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эффективности работы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администраций, оценки деятельности, повышения их ответственности за социально-экономическое развитие регионов Кыргызской Республики, в соответствии со статьями </w:t>
      </w:r>
      <w:hyperlink w:history="1" r:id="rIdbdi_s9v0hmxpoyjf3rz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h81lb9dfjnh0icjig0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dh2kuzbjzicnusnbdw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комплексной системы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 (далее – Методика) согласно приложению 1;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ygeyzfxermahuf62-4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подведения итогов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 </w:t>
      </w:r>
      <w:r>
        <w:rPr>
          <w:rFonts w:ascii="Arial" w:cs="Arial" w:eastAsia="Arial" w:hAnsi="Arial"/>
          <w:sz w:val="24"/>
          <w:szCs w:val="24"/>
        </w:rPr>
        <w:t xml:space="preserve">на ежегодной основе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 2;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 комиссии по подведению итогов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 (далее – Комиссия) согласно приложению 3.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Президента Кыргызской Республики в областях, мэрам городов Бишкек, Ош, городов областного значения и главам местных государственных администраций до 30 числа месяца, следующего за отчетным годом, представлять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Министерство</w:t>
      </w:r>
      <w:r>
        <w:rPr>
          <w:rFonts w:ascii="Arial" w:cs="Arial" w:eastAsia="Arial" w:hAnsi="Arial"/>
          <w:sz w:val="24"/>
          <w:szCs w:val="24"/>
        </w:rPr>
        <w:t xml:space="preserve"> экономики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коммерции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заполненные унифицированные формы отчетности о результатах оценки, утвержденные Министерством экономики и коммерции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Задействованным </w:t>
      </w:r>
      <w:r>
        <w:rPr>
          <w:rFonts w:ascii="Arial" w:cs="Arial" w:eastAsia="Arial" w:hAnsi="Arial"/>
          <w:sz w:val="24"/>
          <w:szCs w:val="24"/>
        </w:rPr>
        <w:t xml:space="preserve">государственным органам и Национальному статистическому комитету Кыргызской Республики (по согласованию) до 30 числа месяца, следующего за отчетным годом, представлять в Министерство экономики и коммерции Кыргызской Республики основные плановые и фактические социально-экономические показатели в соответствии с Методикой.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полномочные представители Президента Кыргызской Республики в областях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мэры городов Бишкек, Ош, городов </w:t>
      </w:r>
      <w:r>
        <w:rPr>
          <w:rFonts w:ascii="Arial" w:cs="Arial" w:eastAsia="Arial" w:hAnsi="Arial"/>
          <w:sz w:val="24"/>
          <w:szCs w:val="24"/>
        </w:rPr>
        <w:t xml:space="preserve">областного значения</w:t>
      </w:r>
      <w:r>
        <w:rPr>
          <w:rFonts w:ascii="Arial" w:cs="Arial" w:eastAsia="Arial" w:hAnsi="Arial"/>
          <w:sz w:val="24"/>
          <w:szCs w:val="24"/>
        </w:rPr>
        <w:t xml:space="preserve"> и главы местных государственных администраций несут персональную ответственность за достоверность, своевременное представление и качество отчетов о фактических значениях достижения индикаторов оценки деятельности за отчетный период.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Комплексную оценку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за 2025 год проводить на основании показателей деятельности по итогам 2025 года согласно </w:t>
      </w:r>
      <w:hyperlink w:history="1" r:id="rIdo6mdzpvvn8jzsw4pq7j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hzldttn04td0k9nuva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2026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коммерции Кыргызской Республики: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после проведенной экспертизы отчетных материалов по оценке эффективности деятельности аппаратов полномочных представителей Президента Кыргызской Республики в областях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мэрий городов Бишкек, Ош, городов областного значения и местных государственных администраций до 1</w:t>
      </w:r>
      <w:r>
        <w:rPr>
          <w:rFonts w:ascii="Arial" w:cs="Arial" w:eastAsia="Arial" w:hAnsi="Arial"/>
          <w:sz w:val="24"/>
          <w:szCs w:val="24"/>
        </w:rPr>
        <w:t xml:space="preserve">-го </w:t>
      </w:r>
      <w:r>
        <w:rPr>
          <w:rFonts w:ascii="Arial" w:cs="Arial" w:eastAsia="Arial" w:hAnsi="Arial"/>
          <w:sz w:val="24"/>
          <w:szCs w:val="24"/>
        </w:rPr>
        <w:t xml:space="preserve">числа третьего месяца, следующего за отчетным годом, представлять в Комиссию сводный отчет;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методическое содействие аппаратам полномочных представителей Президента Кыргызской Республики в областях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мэриям городов Бишкек, Ош, городов областного значения и местным государственным администрациям в практическом применении Методики;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утвердить инструктивные материалы и формы отчетности по практическому применению Методики;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постановления.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 Министерству финансов Кыргызской Республики: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предусмотреть в республиканском бюджете на соответствующие годы денежные средства для реализации настоящего постановления;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выделить из республиканского бюджета 18 000 000 (восемнадцать миллионов) сомов на формирование призового фонда для поощрения лидеров рейтинга по итогам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за 2025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uudqm6spmuqlsx8nvp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2026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силу: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leuxqonaczrtqqtmlg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комплексной системе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администраций» от</w:t>
      </w:r>
      <w:r>
        <w:rPr>
          <w:rFonts w:ascii="Arial" w:cs="Arial" w:eastAsia="Arial" w:hAnsi="Arial"/>
          <w:sz w:val="24"/>
          <w:szCs w:val="24"/>
        </w:rPr>
        <w:t xml:space="preserve">25 апреля 2024 года № 203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yg8btz-jgw6ml1mtuh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kgxunbhbyafbz0cmmpu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комплексной системе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администраций» от 25 апреля 2024 года № 203»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24 октября 2024 года № 644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мая 2026 года № 36 (3796)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комиссии по подведению итогов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Комиссии;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Министров, заместитель председателя Комиссии;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Республики, заместитель председателя Комиссии;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Республики, заместитель председателя Комиссии;</w:t>
      </w:r>
    </w:p>
    <w:p>
      <w:pPr>
        <w:spacing w:after="120" w:before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науки, высшего образования и инноваций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Кабинете Министров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института стратегических инициатив при Президенте Кыргызской Республики (по согласованию).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fj6_mbh2shiudmuw47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2026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РЕЙТИНГ
 аппаратов полномочных представителей Президента Кыргызской Республики в областях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6948"/>
        <w:gridCol w:w="1484"/>
        <w:gridCol w:w="1484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аппаратов полномочных представителей Президента Кыргызской Республики в областях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в баллах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в Иссык-Кульской области Кыргызской Республики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93,4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в Баткенской области Кыргызской Республики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90,6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в Ошской области Кыргызской Республики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89,1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в Нарынской области Кыргызской Республики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88,3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в Джалал-Абадской области Кыргызской Республики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85,8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в Таласской области Кыргызской Республики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79,1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в Чуйской области Кыргызской Республики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75,8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РЕЙТИНГ
 аппаратов местных государственных администраций, входящих в группу 1
 (районы с отдаленными, труднодоступными высокогорными селами и селами, имеющими особый приграничный статус)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6290"/>
        <w:gridCol w:w="1960"/>
        <w:gridCol w:w="1487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государственных администраций</w:t>
            </w:r>
          </w:p>
        </w:tc>
        <w:tc>
          <w:tcPr>
            <w:tcW w:type="dxa" w:w="1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в баллах</w:t>
            </w:r>
          </w:p>
        </w:tc>
        <w:tc>
          <w:tcPr>
            <w:tcW w:type="dxa" w:w="1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92,7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83,4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82,9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79,7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77,8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76,8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75,2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74,7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Тогуз-Тороузский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74,3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73,6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РЕЙТИНГ
 аппаратов местных государственных администраций, входящих в группу 2
 (районы, не входящие в группу 1)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6290"/>
        <w:gridCol w:w="1960"/>
        <w:gridCol w:w="1487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государственных администраций</w:t>
            </w:r>
          </w:p>
        </w:tc>
        <w:tc>
          <w:tcPr>
            <w:tcW w:type="dxa" w:w="1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в баллах</w:t>
            </w:r>
          </w:p>
        </w:tc>
        <w:tc>
          <w:tcPr>
            <w:tcW w:type="dxa" w:w="1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91,9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Кадамджайский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90,5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88,1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86,9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84,1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83,6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83,3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82,8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81,6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77,9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77,8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77,2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75,7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75,2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74,5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72,3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Исык-Атинский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71,6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71,2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70,7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70,6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unarvswejn-ozozsxtj_" Type="http://schemas.openxmlformats.org/officeDocument/2006/relationships/hyperlink" Target="http://kodeks.duckdns.org/document/230049609" TargetMode="External"/><Relationship Id="rIdbdi_s9v0hmxpoyjf3rz9h" Type="http://schemas.openxmlformats.org/officeDocument/2006/relationships/hyperlink" Target="http://kodeks.duckdns.org/document/112301#st_13" TargetMode="External"/><Relationship Id="rIdgh81lb9dfjnh0icjig00q" Type="http://schemas.openxmlformats.org/officeDocument/2006/relationships/hyperlink" Target="http://kodeks.duckdns.org/document/112301#st_17" TargetMode="External"/><Relationship Id="rId0dh2kuzbjzicnusnbdwjl" Type="http://schemas.openxmlformats.org/officeDocument/2006/relationships/hyperlink" Target="http://kodeks.duckdns.org/document/230046777" TargetMode="External"/><Relationship Id="rIdoygeyzfxermahuf62-4uh" Type="http://schemas.openxmlformats.org/officeDocument/2006/relationships/hyperlink" Target="http://kodeks.duckdns.org/document/230046784" TargetMode="External"/><Relationship Id="rIdo6mdzpvvn8jzsw4pq7jlb" Type="http://schemas.openxmlformats.org/officeDocument/2006/relationships/hyperlink" Target="http://kodeks.duckdns.org/document/230046773#pr4" TargetMode="External"/><Relationship Id="rIdohzldttn04td0k9nuvazk" Type="http://schemas.openxmlformats.org/officeDocument/2006/relationships/hyperlink" Target="http://kodeks.duckdns.org/document/230049609" TargetMode="External"/><Relationship Id="rIdfuudqm6spmuqlsx8nvpn7" Type="http://schemas.openxmlformats.org/officeDocument/2006/relationships/hyperlink" Target="http://kodeks.duckdns.org/document/230049609" TargetMode="External"/><Relationship Id="rIdlleuxqonaczrtqqtmlg0o" Type="http://schemas.openxmlformats.org/officeDocument/2006/relationships/hyperlink" Target="http://kodeks.duckdns.org/document/230005416" TargetMode="External"/><Relationship Id="rIdmyg8btz-jgw6ml1mtuhnw" Type="http://schemas.openxmlformats.org/officeDocument/2006/relationships/hyperlink" Target="http://kodeks.duckdns.org/document/230016343" TargetMode="External"/><Relationship Id="rIdkgxunbhbyafbz0cmmpu_n" Type="http://schemas.openxmlformats.org/officeDocument/2006/relationships/hyperlink" Target="http://kodeks.duckdns.org/document/230005416" TargetMode="External"/><Relationship Id="rIdjfj6_mbh2shiudmuw47ip" Type="http://schemas.openxmlformats.org/officeDocument/2006/relationships/hyperlink" Target="http://kodeks.duckdns.org/document/230049609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2026-09-23T04:28:49.077Z</dcterms:created>
  <dcterms:modified xsi:type="dcterms:W3CDTF">2026-09-23T04:28:49.077Z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