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cxwuf996bkq4w7-39_yq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 июня 2026 года № 384)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Требования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по защите персональных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данных при их обработке в цифровых технологических 
 системах в соответствии с установленными уровнями защищенности персональных данных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Настоящие Требования</w:t>
      </w:r>
      <w:r>
        <w:rPr>
          <w:rFonts w:ascii="Arial" w:cs="Arial" w:eastAsia="Arial" w:hAnsi="Arial"/>
          <w:sz w:val="24"/>
          <w:szCs w:val="24"/>
        </w:rPr>
        <w:t xml:space="preserve">по защите персональных данных при их обработке в цифровых технологических системах в соответствии с установленными уровнями защищенности персональных данных</w:t>
      </w:r>
      <w:r>
        <w:rPr>
          <w:rFonts w:ascii="Arial" w:cs="Arial" w:eastAsia="Arial" w:hAnsi="Arial"/>
          <w:sz w:val="24"/>
          <w:szCs w:val="24"/>
        </w:rPr>
        <w:t xml:space="preserve">(далее – Требования) </w:t>
      </w:r>
      <w:r>
        <w:rPr>
          <w:rFonts w:ascii="Arial" w:cs="Arial" w:eastAsia="Arial" w:hAnsi="Arial"/>
          <w:sz w:val="24"/>
          <w:szCs w:val="24"/>
        </w:rPr>
        <w:t xml:space="preserve">устанавливают уровни защищенности персональных данных при их обработке в цифровых технологических системах, критерии и виды угроз безопасности персональных данных, а также требования к обеспечению их безопасности и защите при обработке в цифровых технологических системах в соответствии со </w:t>
      </w:r>
      <w:hyperlink w:history="1" r:id="rIdsiivxa_lujiqyxdfkih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88</w:t>
        </w:r>
      </w:hyperlink>
      <w:r>
        <w:rPr>
          <w:rFonts w:ascii="Arial" w:cs="Arial" w:eastAsia="Arial" w:hAnsi="Arial"/>
          <w:sz w:val="24"/>
          <w:szCs w:val="24"/>
        </w:rPr>
        <w:t xml:space="preserve"> Цифрового кодекса Кыргызской Республики.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Используемые в настоящих Требованиях понятия</w:t>
      </w:r>
      <w:r>
        <w:rPr>
          <w:rFonts w:ascii="Arial" w:cs="Arial" w:eastAsia="Arial" w:hAnsi="Arial"/>
          <w:sz w:val="24"/>
          <w:szCs w:val="24"/>
        </w:rPr>
        <w:t xml:space="preserve"> и термины используются</w:t>
      </w:r>
      <w:r>
        <w:rPr>
          <w:rFonts w:ascii="Arial" w:cs="Arial" w:eastAsia="Arial" w:hAnsi="Arial"/>
          <w:sz w:val="24"/>
          <w:szCs w:val="24"/>
        </w:rPr>
        <w:t xml:space="preserve"> в значени</w:t>
      </w:r>
      <w:r>
        <w:rPr>
          <w:rFonts w:ascii="Arial" w:cs="Arial" w:eastAsia="Arial" w:hAnsi="Arial"/>
          <w:sz w:val="24"/>
          <w:szCs w:val="24"/>
        </w:rPr>
        <w:t xml:space="preserve">ях</w:t>
      </w:r>
      <w:r>
        <w:rPr>
          <w:rFonts w:ascii="Arial" w:cs="Arial" w:eastAsia="Arial" w:hAnsi="Arial"/>
          <w:sz w:val="24"/>
          <w:szCs w:val="24"/>
        </w:rPr>
        <w:t xml:space="preserve">, определенных Цифровым кодексом Кыргызской Республики.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Положения настоящих Требований обязательны для применения государственными органами, органами местного самоуправления, юридическими лицами с участием государства и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или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органов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;</w:t>
      </w:r>
      <w:r>
        <w:rPr>
          <w:rFonts w:ascii="Arial" w:cs="Arial" w:eastAsia="Arial" w:hAnsi="Arial"/>
          <w:sz w:val="24"/>
          <w:szCs w:val="24"/>
        </w:rPr>
        <w:t xml:space="preserve"> организациями, финансируемыми из республиканского и местных бюджетов, являющимися владельцами и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или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обработчиками государственных/муниципальных цифровых технологических систем, а также иных элементов, входящих в состав </w:t>
      </w:r>
      <w:r>
        <w:rPr>
          <w:rFonts w:ascii="Arial" w:cs="Arial" w:eastAsia="Arial" w:hAnsi="Arial"/>
          <w:sz w:val="24"/>
          <w:szCs w:val="24"/>
        </w:rPr>
        <w:t xml:space="preserve">Национальной цифровой экосистемы</w:t>
      </w:r>
      <w:r>
        <w:rPr>
          <w:rFonts w:ascii="Arial" w:cs="Arial" w:eastAsia="Arial" w:hAnsi="Arial"/>
          <w:sz w:val="24"/>
          <w:szCs w:val="24"/>
        </w:rPr>
        <w:t xml:space="preserve">, в которых обрабатываются персональные данные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всеми владельцами персональных записей.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Уровни защищенности персональных данных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их обработке в цифровых технологических системах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При обработке персональных данных устанавливаются следующие уровни защищенности в цифровых технологических системах: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«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иний» (низкий);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«</w:t>
      </w: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еленый» (умеренный);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«</w:t>
      </w:r>
      <w:r>
        <w:rPr>
          <w:rFonts w:ascii="Arial" w:cs="Arial" w:eastAsia="Arial" w:hAnsi="Arial"/>
          <w:sz w:val="24"/>
          <w:szCs w:val="24"/>
        </w:rPr>
        <w:t xml:space="preserve">ж</w:t>
      </w:r>
      <w:r>
        <w:rPr>
          <w:rFonts w:ascii="Arial" w:cs="Arial" w:eastAsia="Arial" w:hAnsi="Arial"/>
          <w:sz w:val="24"/>
          <w:szCs w:val="24"/>
        </w:rPr>
        <w:t xml:space="preserve">елтый» (высокий);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«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расный» (критический).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Выбор уровня защищенности персональных данных, обеспечение которого необходимо при их обработке в конкретной цифровой технологической системе и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или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цифровой экосистеме персональных данных, осуществляется владельцами персональных записей в следующем порядке: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отраслевой регулятор в сфере персональных данных разрабатывает и утверждает Типовой перечень угроз безопасности персональных данных при обработке персональных данных в цифровых технологических системах (далее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Типовой перечень), содержащий все виды и типы предполагаемых угроз, </w:t>
      </w:r>
      <w:r>
        <w:rPr>
          <w:rFonts w:ascii="Arial" w:cs="Arial" w:eastAsia="Arial" w:hAnsi="Arial"/>
          <w:sz w:val="24"/>
          <w:szCs w:val="24"/>
        </w:rPr>
        <w:t xml:space="preserve">а также 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етодику определения угроз безопасности в цифровых технологических системах персональных данных (далее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Методика определения угроз) и форму перечня видов угроз;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государственные органы</w:t>
      </w:r>
      <w:r>
        <w:rPr>
          <w:rFonts w:ascii="Arial" w:cs="Arial" w:eastAsia="Arial" w:hAnsi="Arial"/>
          <w:sz w:val="24"/>
          <w:szCs w:val="24"/>
        </w:rPr>
        <w:t xml:space="preserve"> и органы местного самоуправления на основании Типового перечня, Методики определения угроз разрабатывают и утверждают обязательные для исполнения подведомственными </w:t>
      </w:r>
      <w:r>
        <w:rPr>
          <w:rFonts w:ascii="Arial" w:cs="Arial" w:eastAsia="Arial" w:hAnsi="Arial"/>
          <w:sz w:val="24"/>
          <w:szCs w:val="24"/>
        </w:rPr>
        <w:t xml:space="preserve">организациями </w:t>
      </w:r>
      <w:r>
        <w:rPr>
          <w:rFonts w:ascii="Arial" w:cs="Arial" w:eastAsia="Arial" w:hAnsi="Arial"/>
          <w:sz w:val="24"/>
          <w:szCs w:val="24"/>
        </w:rPr>
        <w:t xml:space="preserve">ведомственные акты об определении перечня угроз безопасности персональных данных при обработке персональных данных в цифровых технологических системах, эксплуатируемых при осуществлении соответствующих видов деятельности, с учетом содержания персональных данных, характера и способов их обработки;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владелец персональных записей, исходя из конкретных условий работы с персональными данными, ценности защищаемой информации и стоимости мер по ее защите, а также с учетом уровня технического развития, утверждает собственный перечень угроз безопасности персональных данных (далее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перечень угроз) по форме, утвержденной отраслевым регулятором в сфере персональных данных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перечень угроз владельцем персональных записей в обязательном порядке включаются угрозы, определенные в актах, указанных в подпунктах 1 и 2 настоящего пункта, а также</w:t>
      </w:r>
      <w:r>
        <w:rPr>
          <w:rFonts w:ascii="Arial" w:cs="Arial" w:eastAsia="Arial" w:hAnsi="Arial"/>
          <w:sz w:val="24"/>
          <w:szCs w:val="24"/>
        </w:rPr>
        <w:t xml:space="preserve">по решению владельца персональных записей и иные угрозы.</w:t>
      </w:r>
      <w:r>
        <w:rPr>
          <w:rFonts w:ascii="Arial" w:cs="Arial" w:eastAsia="Arial" w:hAnsi="Arial"/>
          <w:sz w:val="24"/>
          <w:szCs w:val="24"/>
        </w:rPr>
        <w:t xml:space="preserve">Перечень угроз подлежит пересмотру владельцем персональных записей по мере изменения состава обрабатываемых персональных данных, условий и видов их обработки;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ассоциации, союзы и иные объединения владельцев персональных записей своими решениями вправе определить дополнительные угрозы безопасности персональных данных при обработке персональных данных в цифровых технологических системах, эксплуатируемых при осуществлении определенных видов деятельности членами таких ассоциаций, союзов и иных объединений, с учетом содержания персональных данных, характера и способов их обработки, наряду с угрозами безопасности персональных данных, определенными в ведомственных актах, указанных</w:t>
      </w:r>
      <w:r>
        <w:rPr>
          <w:rFonts w:ascii="Arial" w:cs="Arial" w:eastAsia="Arial" w:hAnsi="Arial"/>
          <w:sz w:val="24"/>
          <w:szCs w:val="24"/>
        </w:rPr>
        <w:t xml:space="preserve">в подпункте 2 настоящего пункта.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Критерии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 рейтинг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угроз безопасности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Каждому виду угроз безопасности персональных данных, вошедших в перечень угроз, разработанный владельцем персональных записей, присваивается рейтинг в зависимости от следующих критериев в соответствии с Методикой определения угроз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44"/>
        <w:gridCol w:w="3734"/>
        <w:gridCol w:w="1526"/>
        <w:gridCol w:w="4075"/>
      </w:tblGrid>
      <w:tr>
        <w:tc>
          <w:tcPr>
            <w:tcW w:type="dxa" w:w="8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</w:t>
            </w:r>
          </w:p>
        </w:tc>
        <w:tc>
          <w:tcPr>
            <w:tcW w:type="dxa" w:w="37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Критерий</w:t>
            </w:r>
          </w:p>
        </w:tc>
        <w:tc>
          <w:tcPr>
            <w:tcW w:type="dxa" w:w="15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Диапазон баллов</w:t>
            </w:r>
          </w:p>
        </w:tc>
        <w:tc>
          <w:tcPr>
            <w:tcW w:type="dxa" w:w="40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(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ах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8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Возможное причинение вреда субъекту персональных данных, который может быть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нанесен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случае реализации угрозы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 балла</w:t>
            </w:r>
          </w:p>
        </w:tc>
        <w:tc>
          <w:tcPr>
            <w:tcW w:type="dxa" w:w="4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вред не может быть причинен (не влечет причинения убытков и морального вреда субъекту персональных данных);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незначительный вред, легко компенсируемый владельцем персональных записей (незначительные затраты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менее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 расчетных показателей, на ликвидацию/компенсацию последствий за причиненные убытки и моральный вред);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значительный вред, который может быть компенсирован владельцем персональных записей (влечет значительные затраты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от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 до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 расчетных показателей, на ликвидацию/компенсацию последствий за причиненные убытки и моральный вред);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– критический вред, который может быть компенсирован владельцем персональных записей (влечет причинение убытков и морального вреда, компенсация которых требует затрат более 10 000 расчетных показателей).</w:t>
            </w:r>
          </w:p>
        </w:tc>
      </w:tr>
      <w:tr>
        <w:tc>
          <w:tcPr>
            <w:tcW w:type="dxa" w:w="8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обрабатываемых персональных данных, которые подвержены данной угрозе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 балла</w:t>
            </w:r>
          </w:p>
        </w:tc>
        <w:tc>
          <w:tcPr>
            <w:tcW w:type="dxa" w:w="4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незначительный объем (цифровая технологическая система обрабатывает персональные данные в объеме, не превышающем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 субъектов персональных данных);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значительный объем (цифровая технологическая система обрабатывает персональные данные в объеме более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 до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 субъектов персональных данных);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критический объем (цифровая технологическая система обрабатывает персональные данные в объеме более 100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 субъектов персональных данных)</w:t>
            </w:r>
          </w:p>
        </w:tc>
      </w:tr>
      <w:tr>
        <w:tc>
          <w:tcPr>
            <w:tcW w:type="dxa" w:w="8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обрабатываемых персональных данных, которые подвержены данной угрозе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 балла</w:t>
            </w:r>
          </w:p>
        </w:tc>
        <w:tc>
          <w:tcPr>
            <w:tcW w:type="dxa" w:w="4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персональные данные, не относящиеся к специальным категориям персональных данных и персональным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данным детей;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специальные категории персональных данных, в том числе персональные данные детей (в соответствии с частью 1 </w:t>
            </w:r>
            <w:hyperlink w:history="1" r:id="rIdjcfnyxrao7orwjdn6sez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статьи 80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hyperlink w:history="1" r:id="rId0ozirhcwt4xtcydnqam2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статьи 81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Цифрового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одекса Кыргызской Республики) </w:t>
            </w:r>
          </w:p>
        </w:tc>
      </w:tr>
      <w:tr>
        <w:tc>
          <w:tcPr>
            <w:tcW w:type="dxa" w:w="8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деятельности, к которой применима угроза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 балл</w:t>
            </w:r>
          </w:p>
        </w:tc>
        <w:tc>
          <w:tcPr>
            <w:tcW w:type="dxa" w:w="4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краткосрочная (обработка данных не более чем в течение 2 (двух) недель);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долгосрочная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Рейтинг угрозы безопасности персональных данных определяется как произведение баллов по каждому из критериев.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Не считается обработкой специальных категорий персональных данных сопоставление биометрических шаблонов в автономных технических устройствах, не направленное на установление личности физического лица как субъекта права, не связанное с предоставлением государственных или иных юридически значимых услуг, используемое исключительно для выполнения ограниченной технической функции и осуществляемое при наличии альтернативного способа ее выполнения без применения биометрических данных.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. Уровни </w:t>
      </w:r>
      <w:r>
        <w:rPr>
          <w:rFonts w:ascii="Arial" w:cs="Arial" w:eastAsia="Arial" w:hAnsi="Arial"/>
          <w:sz w:val="24"/>
          <w:szCs w:val="24"/>
        </w:rPr>
        <w:t xml:space="preserve">защищенности</w:t>
      </w:r>
      <w:r>
        <w:rPr>
          <w:rFonts w:ascii="Arial" w:cs="Arial" w:eastAsia="Arial" w:hAnsi="Arial"/>
          <w:sz w:val="24"/>
          <w:szCs w:val="24"/>
        </w:rPr>
        <w:t xml:space="preserve"> персональных данных в зависимости от угроз безопасности этих данных определяются для каждой цифровой технологической системы или цифровых экосистем следующим образом: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«синий»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наличие угроз с рейтингом не более 1 балла;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«зеленый»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наличие угроз с рейтингом 2 балла (но не более);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«желтый»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наличие угроз с рейтингом от 3 до 6 баллов включительно (но не более);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«красный»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наличие угроз с рейтингом более 6 баллов.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284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Требования к защите персональных данных по уровням защищенности</w:t>
      </w:r>
    </w:p>
    <w:p>
      <w:pPr>
        <w:spacing w:after="120"/>
        <w:ind w:firstLine="284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. Установленные </w:t>
      </w:r>
      <w:hyperlink w:history="1" r:id="rIdm6pdyq70btbdgwklxpz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настоящих Требований уровни защищенности персональных данных при их обработке в цифровых технологических системах персональных данных обеспечиваются выполнением следующих требований: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«синего» </w:t>
      </w:r>
      <w:r>
        <w:rPr>
          <w:rFonts w:ascii="Arial" w:cs="Arial" w:eastAsia="Arial" w:hAnsi="Arial"/>
          <w:sz w:val="24"/>
          <w:szCs w:val="24"/>
        </w:rPr>
        <w:t xml:space="preserve">уровня защищенности: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принятием документа (Политики) в отношении обработки и защиты персональных данных, определяющего меры по обеспечению конфиденциальности и безопасности данных пользователей, и обеспечением неограниченного и беспрепятственного доступа к его актуальной версии для любых заинтересованных лиц (включая незарегистрированных посетителей), а также организационно-технических решений, обеспечивающих доступность указанного документа для пользователей сайта и (или) приложения;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определением лица (лиц), ответственн</w:t>
      </w:r>
      <w:r>
        <w:rPr>
          <w:rFonts w:ascii="Arial" w:cs="Arial" w:eastAsia="Arial" w:hAnsi="Arial"/>
          <w:sz w:val="24"/>
          <w:szCs w:val="24"/>
        </w:rPr>
        <w:t xml:space="preserve">ого</w:t>
      </w:r>
      <w:r>
        <w:rPr>
          <w:rFonts w:ascii="Arial" w:cs="Arial" w:eastAsia="Arial" w:hAnsi="Arial"/>
          <w:sz w:val="24"/>
          <w:szCs w:val="24"/>
        </w:rPr>
        <w:t xml:space="preserve"> за обработку персональных данных в организации (для организаций с количеством работников более десяти человек), из числа работников организации или привлекаемого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привлекаемых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на основании договора;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организацией обучения правилам и рекомендациям в сфере обработки персональных данных и факторам их эффективного применения;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утверждением регламента реагирования на инциденты в цифровой среде, влияющем на цифровую устойчивость или права и законные интересы субъектов правоотношений в цифровой среде, содержащей порядки по выявлению, идентификации, предупреждению</w:t>
      </w:r>
      <w:r>
        <w:rPr>
          <w:rFonts w:ascii="Arial" w:cs="Arial" w:eastAsia="Arial" w:hAnsi="Arial"/>
          <w:sz w:val="24"/>
          <w:szCs w:val="24"/>
        </w:rPr>
        <w:t xml:space="preserve">и приняти</w:t>
      </w:r>
      <w:r>
        <w:rPr>
          <w:rFonts w:ascii="Arial" w:cs="Arial" w:eastAsia="Arial" w:hAnsi="Arial"/>
          <w:sz w:val="24"/>
          <w:szCs w:val="24"/>
        </w:rPr>
        <w:t xml:space="preserve">ю</w:t>
      </w:r>
      <w:r>
        <w:rPr>
          <w:rFonts w:ascii="Arial" w:cs="Arial" w:eastAsia="Arial" w:hAnsi="Arial"/>
          <w:sz w:val="24"/>
          <w:szCs w:val="24"/>
        </w:rPr>
        <w:t xml:space="preserve"> мер по устранению таких инцидентов, а также порядок уведомления владельцем записей и обработчиком об инцидентах в цифровой среде, осуществляемый в порядке и сроки, предусмотренные Цифровым</w:t>
      </w:r>
      <w:hyperlink w:history="1" r:id="rId3rwlzlc0f95m09ycao8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кодексом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осуществлением внутреннего контроля соответствия обработки персональных данных требованиям Цифрового </w:t>
      </w:r>
      <w:hyperlink w:history="1" r:id="rIdbjjdsqe0mgsezez8kyk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настоящих Требований, </w:t>
      </w:r>
      <w:r>
        <w:rPr>
          <w:rFonts w:ascii="Arial" w:cs="Arial" w:eastAsia="Arial" w:hAnsi="Arial"/>
          <w:sz w:val="24"/>
          <w:szCs w:val="24"/>
        </w:rPr>
        <w:t xml:space="preserve">а также </w:t>
      </w:r>
      <w:r>
        <w:rPr>
          <w:rFonts w:ascii="Arial" w:cs="Arial" w:eastAsia="Arial" w:hAnsi="Arial"/>
          <w:sz w:val="24"/>
          <w:szCs w:val="24"/>
        </w:rPr>
        <w:t xml:space="preserve">иных документов, принятых по вопросам обработки персональных данных;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включением в трудовые договоры и должностные инструкции работников владельца персональных записей их обязанностей в отношении обработки персональных данных, положений о неукоснительном соблюдении требований Цифрового </w:t>
      </w:r>
      <w:hyperlink w:history="1" r:id="rIdjceukdon071_tmgjuuo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регулирующих обработку персональных данных, и настоящих Требований, </w:t>
      </w:r>
      <w:r>
        <w:rPr>
          <w:rFonts w:ascii="Arial" w:cs="Arial" w:eastAsia="Arial" w:hAnsi="Arial"/>
          <w:sz w:val="24"/>
          <w:szCs w:val="24"/>
        </w:rPr>
        <w:t xml:space="preserve">а также </w:t>
      </w:r>
      <w:r>
        <w:rPr>
          <w:rFonts w:ascii="Arial" w:cs="Arial" w:eastAsia="Arial" w:hAnsi="Arial"/>
          <w:sz w:val="24"/>
          <w:szCs w:val="24"/>
        </w:rPr>
        <w:t xml:space="preserve">иных документов, принятых по вопросам обработки персональных данных;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ведением (в бумажном или цифровом виде) журнала учета материальных носителей персональных данных, предназначенных для обработки цифровых данных в машиночитаемом формате, а также сетевых и облачных хранилищ персональных данных, и списка лиц, в чьи должностные обязанности входит доступ к персональным данным;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при каждом вводе персональных данных в цифровую технологическую систему и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или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персональный ресурс, а также при изменении или уничтожении таких данных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указанием лица, осуществившего обработку таких данных, даты и времени совершения операции;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созданием резервной копии актуальных персональных данных, обрабатываемых в цифровой технологической системе персональных данных с установленной периодичностью на основе риск-ориентированного подхода;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«зеленого» </w:t>
      </w:r>
      <w:r>
        <w:rPr>
          <w:rFonts w:ascii="Arial" w:cs="Arial" w:eastAsia="Arial" w:hAnsi="Arial"/>
          <w:sz w:val="24"/>
          <w:szCs w:val="24"/>
        </w:rPr>
        <w:t xml:space="preserve">уровня защищенности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требований, установленных для «синего» уровня защищенности, и дополнительно следующих требований: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реализацией конструктивной защиты данных на стадии проектирования цифровой технологической системы до начала обработки персональных данных, с учетом интеграции функций их защиты в архитектуру системы без необходимости дополнительных действий (настроек) со стороны пользователя, ориентации на интересы пользователей и проактивной защиты их прав, наличия автоматических механизмов контроля данных на всех этапах их жизненного цикла (от сбора до удаления);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применением шифровальных (криптографических) средств защиты информации, соответствующих техническим требованиям к таким средствам, для исключения несанкционированного доступа к персональным данным, их преднамеренного или случайного изменения или уничтожения;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установлением системы контроля помещений, в которых установлена цифровая технологическая система, позволяющей ограничить физический доступ к цифровым устройствам цифровой технологической системы только теми лицами, которым предоставлены соответствующие полномочия;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«желтого» </w:t>
      </w:r>
      <w:r>
        <w:rPr>
          <w:rFonts w:ascii="Arial" w:cs="Arial" w:eastAsia="Arial" w:hAnsi="Arial"/>
          <w:sz w:val="24"/>
          <w:szCs w:val="24"/>
        </w:rPr>
        <w:t xml:space="preserve">уровня защищенности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требований, установленных для «зеленого» уровня защищенности, и дополнительно следующих требований: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централизованным управлением системой защиты персональных данных, в том числе путем создания структурного подразделения, ответственного за реализацию настоящих Требований; В случае совместных владельцев записей данное требование реализуется одним из владельцев персональных записей путем заключения договора о порядке совместного осуществления своих прав и обязанностей;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ведением автоматического цифрового журнала (лога), фиксирующего все операции с персональными данными, в том числе просмотр, с обеспечением невозможности внесения изменений в данный журнал задним числом;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обеспечением резервирования и высокой доступности цифровой технологической системы хранения и обработки персональных данных в реальном времени и автоматического электронного журнала, предусмотренного абзацем третьим настоящего подпункта;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наличием автоматической системы выявления и пресечения несанкционированного доступа к персональным данным, а также их случайного уничтожения или изменения;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для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«красного» </w:t>
      </w:r>
      <w:r>
        <w:rPr>
          <w:rFonts w:ascii="Arial" w:cs="Arial" w:eastAsia="Arial" w:hAnsi="Arial"/>
          <w:sz w:val="24"/>
          <w:szCs w:val="24"/>
        </w:rPr>
        <w:t xml:space="preserve">уровня защищенности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требований, установленных для «желтого» уровня защищенности, и дополнительно следующих требований: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использованием только защищенных каналов связи при передаче персональных данных и (или) доступе к ним;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защитой персональных данных от утечек по техническим каналам;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применением средств защиты информации, прошедших в установленном порядке процедуру сертификации в соответствии с отраслевым законодательством;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регулярным (не менее 1 раза в год) аудитом цифровых технологических систем владельца персональных записей и обработчика автоматического цифрового журнала (лога), фиксирующего все операции с персональными данными, отраслевым регулятором в сфере персональных данных и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или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аккредитованным субъектом для осуществления проверок соблюдения требований в сфере персональных данных.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nigu_fja1y9mytnyid7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dalil.kg/document/230046833</w:t>
      </w:r>
    </w:hyperlink>
  </w:p>
  <w:p>
    <w:pPr>
      <w:spacing w:after="0" w:before="40"/>
      <w:jc w:val="center"/>
    </w:pPr>
    <w:hyperlink w:history="1" r:id="rIdwkmtvb0-iskc2tfdq5a2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xwuf996bkq4w7-39_yqc" Type="http://schemas.openxmlformats.org/officeDocument/2006/relationships/hyperlink" Target="https://dalil.kg/document/230046827" TargetMode="External"/><Relationship Id="rIdsiivxa_lujiqyxdfkihx8" Type="http://schemas.openxmlformats.org/officeDocument/2006/relationships/hyperlink" Target="https://dalil.kg/document/230029914#st_88" TargetMode="External"/><Relationship Id="rIdjcfnyxrao7orwjdn6sezs" Type="http://schemas.openxmlformats.org/officeDocument/2006/relationships/hyperlink" Target="https://dalil.kg/document/230029914#st_80" TargetMode="External"/><Relationship Id="rId0ozirhcwt4xtcydnqam21" Type="http://schemas.openxmlformats.org/officeDocument/2006/relationships/hyperlink" Target="https://dalil.kg/document/230029914#st_81" TargetMode="External"/><Relationship Id="rIdm6pdyq70btbdgwklxpz8p" Type="http://schemas.openxmlformats.org/officeDocument/2006/relationships/hyperlink" Target="https://dalil.kg/document/230046833#p9" TargetMode="External"/><Relationship Id="rId3rwlzlc0f95m09ycao8f_" Type="http://schemas.openxmlformats.org/officeDocument/2006/relationships/hyperlink" Target="https://dalil.kg/document/230029914" TargetMode="External"/><Relationship Id="rIdbjjdsqe0mgsezez8kykpo" Type="http://schemas.openxmlformats.org/officeDocument/2006/relationships/hyperlink" Target="https://dalil.kg/document/230029914" TargetMode="External"/><Relationship Id="rIdjceukdon071_tmgjuuoya" Type="http://schemas.openxmlformats.org/officeDocument/2006/relationships/hyperlink" Target="https://dalil.kg/document/23002991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nigu_fja1y9mytnyid7o" Type="http://schemas.openxmlformats.org/officeDocument/2006/relationships/hyperlink" Target="https://dalil.kg/document/230046833" TargetMode="External"/><Relationship Id="rIdwkmtvb0-iskc2tfdq5a2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2026-09-25T01:50:45.826Z</dcterms:created>
  <dcterms:modified xsi:type="dcterms:W3CDTF">2026-09-25T01:50:45.826Z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