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2026 года № 400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«Об утверждении Правил оборота боевого ручного стрелкового оружия, боеприпасов к нему, а также холодного оружия в государственных военизированных организациях и специальных службах Кыргызской Республики» от 31 октября 2006 года № 756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пунктом 3 </w:t>
      </w:r>
      <w:hyperlink w:history="1" r:id="rIdul-xmtxt11crvadzqmk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изменений в </w:t>
      </w:r>
      <w:hyperlink w:history="1" r:id="rIdlcznxwjxt95wckucmyi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структуре и составе Кабинета Министров Кыргызской Республики» от 12 октября 2021 года № 425» </w:t>
      </w:r>
      <w:r>
        <w:rPr>
          <w:rFonts w:ascii="Arial" w:cs="Arial" w:eastAsia="Arial" w:hAnsi="Arial"/>
          <w:sz w:val="24"/>
          <w:szCs w:val="24"/>
        </w:rPr>
        <w:t xml:space="preserve">от 10 февраля 2026 года</w:t>
      </w:r>
      <w:r>
        <w:rPr>
          <w:rFonts w:ascii="Arial" w:cs="Arial" w:eastAsia="Arial" w:hAnsi="Arial"/>
          <w:sz w:val="24"/>
          <w:szCs w:val="24"/>
        </w:rPr>
        <w:t xml:space="preserve">№ 36</w:t>
      </w:r>
      <w:r>
        <w:rPr>
          <w:rFonts w:ascii="Arial" w:cs="Arial" w:eastAsia="Arial" w:hAnsi="Arial"/>
          <w:sz w:val="24"/>
          <w:szCs w:val="24"/>
        </w:rPr>
        <w:t xml:space="preserve">, статьями </w:t>
      </w:r>
      <w:hyperlink w:history="1" r:id="rId6quhem3bszjdf0nf6d3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zlazrgqq0hjyqj-fvo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ncadrunacakswqwzj2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nhsjyfp3q3zkpxodzw4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оборота боевого ручного стрелкового оружия, боеприпасов к нему, а также холодного оружия в государственных военизированных организациях и специальных службах Кыргызской Республики» от 31 октября 2006 года № 756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njj8tcxw1a9g0plkgm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оборота боевого ручного стрелкового оружия, боеприпасов к нему, а также холодного оружия в государственных военизированных организациях и специальных службах, утвержденных вышеуказанным </w:t>
      </w:r>
      <w:hyperlink w:history="1" r:id="rIds_2va7hvlohoa8zimuo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второй пункта 1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«Оборот оружия осуществляется в воинских частях и организациях Министерства обороны Кыргызской Республики, Министерства внутренних дел Кыргызской Республики, Министерства чрезвычайных ситуаций Кыргызской Республики, Государственного комитета национальной безопасности Кыргызской Республики, уполномоченного государственного органа в сфере охраны Государственной границы, органа государственной охраны, государственного органа уголовно-исполнительной системы Кыргызской Республики, уполномоченно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 государственно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 орган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в сфере таможенного дела,</w:t>
      </w:r>
      <w:r>
        <w:rPr>
          <w:rFonts w:ascii="Arial" w:cs="Arial" w:eastAsia="Arial" w:hAnsi="Arial"/>
          <w:sz w:val="24"/>
          <w:szCs w:val="24"/>
        </w:rPr>
        <w:t xml:space="preserve">специальных службах Национального банка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службах судебных приставов Кыргызской Республики (далее 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государственные военизированные организации и специальные службы).»;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27: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</w:t>
      </w:r>
      <w:r>
        <w:rPr>
          <w:rFonts w:ascii="Arial" w:cs="Arial" w:eastAsia="Arial" w:hAnsi="Arial"/>
          <w:sz w:val="24"/>
          <w:szCs w:val="24"/>
        </w:rPr>
        <w:t xml:space="preserve">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«Ввоз на территорию Кыргызской Республики и вывоз с территории Кыргызской Республики оружия и боеприпасов к нему сотрудниками иностранных военизированных организаций и специальных служб, сопровождающих глав иностранных государств и глав правительств иностранных государств, иных иностранных государственных, политических, а также общественных деятелей, подлежащих государственной охране, в период их пребывания на территории Кыргызской Республики, а также лицам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, прибывающим</w:t>
      </w:r>
      <w:r>
        <w:rPr>
          <w:rFonts w:ascii="Arial" w:cs="Arial" w:eastAsia="Arial" w:hAnsi="Arial"/>
          <w:sz w:val="24"/>
          <w:szCs w:val="24"/>
        </w:rPr>
        <w:t xml:space="preserve">и </w:t>
      </w:r>
      <w:r>
        <w:rPr>
          <w:rFonts w:ascii="Arial" w:cs="Arial" w:eastAsia="Arial" w:hAnsi="Arial"/>
          <w:sz w:val="24"/>
          <w:szCs w:val="24"/>
        </w:rPr>
        <w:t xml:space="preserve">в Кыргызскую Республику по приглашению органа государственной охраны в связи со служебной необходимостью, производится по разрешению органа государственной охраны</w:t>
      </w:r>
      <w:r>
        <w:rPr>
          <w:rFonts w:ascii="Arial" w:cs="Arial" w:eastAsia="Arial" w:hAnsi="Arial"/>
          <w:sz w:val="24"/>
          <w:szCs w:val="24"/>
        </w:rPr>
        <w:t xml:space="preserve">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«Государственного комитета национальной безопасности Кыргызской Республики» заменить словами «</w:t>
      </w:r>
      <w:r>
        <w:rPr>
          <w:rFonts w:ascii="Arial" w:cs="Arial" w:eastAsia="Arial" w:hAnsi="Arial"/>
          <w:sz w:val="24"/>
          <w:szCs w:val="24"/>
        </w:rPr>
        <w:t xml:space="preserve">органа государственной охраны</w:t>
      </w: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Уполномоченн</w:t>
      </w:r>
      <w:r>
        <w:rPr>
          <w:rFonts w:ascii="Arial" w:cs="Arial" w:eastAsia="Arial" w:hAnsi="Arial"/>
          <w:sz w:val="24"/>
          <w:szCs w:val="24"/>
        </w:rPr>
        <w:t xml:space="preserve">ым </w:t>
      </w:r>
      <w:r>
        <w:rPr>
          <w:rFonts w:ascii="Arial" w:cs="Arial" w:eastAsia="Arial" w:hAnsi="Arial"/>
          <w:sz w:val="24"/>
          <w:szCs w:val="24"/>
        </w:rPr>
        <w:t xml:space="preserve">государственн</w:t>
      </w:r>
      <w:r>
        <w:rPr>
          <w:rFonts w:ascii="Arial" w:cs="Arial" w:eastAsia="Arial" w:hAnsi="Arial"/>
          <w:sz w:val="24"/>
          <w:szCs w:val="24"/>
        </w:rPr>
        <w:t xml:space="preserve">ым</w:t>
      </w:r>
      <w:r>
        <w:rPr>
          <w:rFonts w:ascii="Arial" w:cs="Arial" w:eastAsia="Arial" w:hAnsi="Arial"/>
          <w:sz w:val="24"/>
          <w:szCs w:val="24"/>
        </w:rPr>
        <w:t xml:space="preserve"> орган</w:t>
      </w:r>
      <w:r>
        <w:rPr>
          <w:rFonts w:ascii="Arial" w:cs="Arial" w:eastAsia="Arial" w:hAnsi="Arial"/>
          <w:sz w:val="24"/>
          <w:szCs w:val="24"/>
        </w:rPr>
        <w:t xml:space="preserve">ам</w:t>
      </w:r>
      <w:r>
        <w:rPr>
          <w:rFonts w:ascii="Arial" w:cs="Arial" w:eastAsia="Arial" w:hAnsi="Arial"/>
          <w:sz w:val="24"/>
          <w:szCs w:val="24"/>
        </w:rPr>
        <w:t xml:space="preserve"> в сфере охраны Государственной границы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таможенного дела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органу государственной охраны </w:t>
      </w:r>
      <w:r>
        <w:rPr>
          <w:rFonts w:ascii="Arial" w:cs="Arial" w:eastAsia="Arial" w:hAnsi="Arial"/>
          <w:sz w:val="24"/>
          <w:szCs w:val="24"/>
        </w:rPr>
        <w:t xml:space="preserve">привести свои решения в соответствие с настоящ</w:t>
      </w:r>
      <w:r>
        <w:rPr>
          <w:rFonts w:ascii="Arial" w:cs="Arial" w:eastAsia="Arial" w:hAnsi="Arial"/>
          <w:sz w:val="24"/>
          <w:szCs w:val="24"/>
        </w:rPr>
        <w:t xml:space="preserve">им</w:t>
      </w:r>
      <w:hyperlink w:history="1" r:id="rIdbu8ytnvbnr9opnrugg5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ем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9 июня 2026 года № 42 (3802).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pgawoowmqxhyhclxtmw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dalil.kg/document/230047009</w:t>
      </w:r>
    </w:hyperlink>
  </w:p>
  <w:p>
    <w:pPr>
      <w:spacing w:after="0" w:before="40"/>
      <w:jc w:val="center"/>
    </w:pPr>
    <w:hyperlink w:history="1" r:id="rIdatfbxijcnynj9gq39d3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l-xmtxt11crvadzqmkrd" Type="http://schemas.openxmlformats.org/officeDocument/2006/relationships/hyperlink" Target="https://dalil.kg/document/230040125" TargetMode="External"/><Relationship Id="rIdlcznxwjxt95wckucmyish" Type="http://schemas.openxmlformats.org/officeDocument/2006/relationships/hyperlink" Target="https://dalil.kg/document/430696" TargetMode="External"/><Relationship Id="rId6quhem3bszjdf0nf6d3vo" Type="http://schemas.openxmlformats.org/officeDocument/2006/relationships/hyperlink" Target="https://dalil.kg/document/112301#st_13" TargetMode="External"/><Relationship Id="rIdfzlazrgqq0hjyqj-fvon3" Type="http://schemas.openxmlformats.org/officeDocument/2006/relationships/hyperlink" Target="https://dalil.kg/document/112301#st_17" TargetMode="External"/><Relationship Id="rIdlncadrunacakswqwzj2tv" Type="http://schemas.openxmlformats.org/officeDocument/2006/relationships/hyperlink" Target="https://dalil.kg/document/57918" TargetMode="External"/><Relationship Id="rIdnhsjyfp3q3zkpxodzw4i4" Type="http://schemas.openxmlformats.org/officeDocument/2006/relationships/hyperlink" Target="https://dalil.kg/document/57950" TargetMode="External"/><Relationship Id="rIdanjj8tcxw1a9g0plkgmwn" Type="http://schemas.openxmlformats.org/officeDocument/2006/relationships/hyperlink" Target="https://dalil.kg/document/57950" TargetMode="External"/><Relationship Id="rIds_2va7hvlohoa8zimuol9" Type="http://schemas.openxmlformats.org/officeDocument/2006/relationships/hyperlink" Target="https://dalil.kg/document/57918" TargetMode="External"/><Relationship Id="rIdbu8ytnvbnr9opnrugg5sc" Type="http://schemas.openxmlformats.org/officeDocument/2006/relationships/hyperlink" Target="https://dalil.kg/document/5791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gawoowmqxhyhclxtmw7" Type="http://schemas.openxmlformats.org/officeDocument/2006/relationships/hyperlink" Target="https://dalil.kg/document/230047009" TargetMode="External"/><Relationship Id="rIdatfbxijcnynj9gq39d3v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2026-09-25T20:28:29.115Z</dcterms:created>
  <dcterms:modified xsi:type="dcterms:W3CDTF">2026-09-25T20:28:29.115Z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