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</w:t>
      </w:r>
      <w:r>
        <w:rPr>
          <w:rFonts w:ascii="Arial" w:cs="Arial" w:eastAsia="Arial" w:hAnsi="Arial"/>
          <w:sz w:val="24"/>
          <w:szCs w:val="24"/>
        </w:rPr>
        <w:t xml:space="preserve"> июня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207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совершенствованию системы налогообложения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налогового администрирования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налогового законодательства Кыргызской Республики, повышения эффективности налогового администрирования, создания условий для развития предпринимательства, руководствуясь </w:t>
      </w:r>
      <w:hyperlink w:history="1" r:id="rIducd_r_sjwmd8dzezphu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 внести в Жогорку Кенеш Кыргызской Республики при рассмотрении во втором чтении проекта Закона Кыргызской Республики «О внесении изменений в некоторые законодательные акты Кыргызской Республики в сфере налогообложения и неналоговых доходов» следующие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освободить сроком на 5 лет от уплаты налогов субъектов, осуществляющих следующие виды деятельности, а также установить ставку подоходного налога в размере 5 процентов: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услуги по разработке программного обеспечения и информационных систем, в том числе искусственного интеллекта;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услуги по производству, размещению и распространению общедоступной информации, в том числе текстовых, графических, аудио- и видеоматериалов в информационно-телекоммуникационной сети Интернет (деятельность блогеров);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услуги по удаленному аутсорсингу бизнес-процессов;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стартапы на основе инновационных идей или уникальных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производство кинофильмов, видео- и телевизионных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другие виды креативной и творческой деятельности, определяемые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установить ставку единого налога вне зависимости от формы уплаты для субъектов, оказывающих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саун и бань в размере 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общественного питания в городах Бишкек и Ош в размере 5 процентов, на остальной территории Кыргызской Республики в размере 3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установить, что норма, при которой датой возникновения налогового обязательства по налогу с продаж и единому налогу является дата поставки, указанная в счете-фактуре, дата пробития контрольно-кассового чека или дата получения оплаты в зависимости от того, какое из этих событий наступило ранее, распространяется исключительно на субъекты предпринимательства, осуществляющие первичную реализацию жилых и нежилых помещений, а также установить для таких субъектов ставку единого налога в размере 4 процентов вне зависимости от формы уплаты;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 начислять пени по налогу на недвижимое имущество, образованные в результате автоматического формирования налоговых обязательств за период 2026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предоставить право налогоплательщику, применяющему упрощенную систему налогообложения на основе единого налога, перейти на общий режим налогообложения в порядке добровольного выхода из упрощенной системы налогообложения в срок до 1 октября 2026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списать налоговую задолженность субъектам предпринимательства, осуществившим строительство жилых домов за счет государственного бюджета, предназначенных для последующей передачи на безвозмездной основе жителям Баткенской области после военных событий на кыргызско-таджикском участке государственной границы;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предоставить право субъектам предпринимательства скорректировать сведения о товарах, на которые отсутствовали первичные учетные документы, излишне внесенные до 1 апреля 2025 года в информационную систему уполномоченного налогового органа, а также не признавать такие товары реализованными для целей налогообложения;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установить повышающие ставки налога на доходы горнодобывающих и/или горноперерабатывающих предприятий по золоту и серебру с учетом цен на международных товарных биржах;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установить дифференцированные штрафы за товары, незаконно перемещаемые через Государственную границу Кыргызской Республики с территории государств – членов Евразийского экономического союза без соответствующих документов, в зависимости от стоимости таких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ставку страховых взносов по государственному социальному страхованию в размере 12 процентов от среднемесячной заработной платы для субъектов, осуществляющих виды деятельности, указанные в подпункте 1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qyhoow_ytzcuailntkx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мерах по борьбе с контрабандой и неучтенным ввозом товаров на территорию Кыргызской Республики» от 5 сентября 2022 года № 304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2 </w:t>
      </w:r>
      <w:r>
        <w:rPr>
          <w:rFonts w:ascii="Arial" w:cs="Arial" w:eastAsia="Arial" w:hAnsi="Arial"/>
          <w:sz w:val="24"/>
          <w:szCs w:val="24"/>
        </w:rPr>
        <w:t xml:space="preserve">пункта 1</w:t>
      </w:r>
      <w:r>
        <w:rPr>
          <w:rFonts w:ascii="Arial" w:cs="Arial" w:eastAsia="Arial" w:hAnsi="Arial"/>
          <w:sz w:val="24"/>
          <w:szCs w:val="24"/>
        </w:rPr>
        <w:t xml:space="preserve"> слова «транспортных средств, использованных для контрабандного и/или неучтенного перемещения товаров (грузов) в рамках торговли с третьими странами и государствами – членами Евразийского экономического союза» заменить словами «транспортных средств, использованных для контрабандного перемещения товаров (грузов) в рамках торговли с третьими странами».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12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июня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2026 года № 43 (3803)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9eokrfdmvdyue6jgx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dalil.kg/document/230047020</w:t>
      </w:r>
    </w:hyperlink>
  </w:p>
  <w:p>
    <w:pPr>
      <w:spacing w:after="0" w:before="40"/>
      <w:jc w:val="center"/>
    </w:pPr>
    <w:hyperlink w:history="1" r:id="rIdory1sh1bit-hd-vdqar4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d_r_sjwmd8dzezphuqu" Type="http://schemas.openxmlformats.org/officeDocument/2006/relationships/hyperlink" Target="https://dalil.kg/document/112213#st_71" TargetMode="External"/><Relationship Id="rIdqyhoow_ytzcuailntkx56" Type="http://schemas.openxmlformats.org/officeDocument/2006/relationships/hyperlink" Target="https://dalil.kg/document/4348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9eokrfdmvdyue6jgx-g" Type="http://schemas.openxmlformats.org/officeDocument/2006/relationships/hyperlink" Target="https://dalil.kg/document/230047020" TargetMode="External"/><Relationship Id="rIdory1sh1bit-hd-vdqar4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2026-09-24T17:43:41.964Z</dcterms:created>
  <dcterms:modified xsi:type="dcterms:W3CDTF">2026-09-24T17:43:41.964Z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