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fh9xu6wrgj_ksg1t9bv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мая 2026 года № 369)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Временный порядок предоставления субсидий субъектам, осуществляющим деятельность по импорту и реализации горюче-смазочных материалов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Временный порядок определяет механизм предоставления субсидий субъектам, осуществляющим деятельность по импорту и реализации горюче-смазочных материалов на территории Кыргызской Республики, в целях стабилизации розничных цен на горюче-смазочные материалы. </w:t>
      </w:r>
    </w:p>
    <w:p>
      <w:pPr>
        <w:spacing w:after="120"/>
        <w:ind w:firstLine="567"/>
        <w:jc w:val="both"/>
      </w:pPr>
      <w:r>
        <w:rPr>
          <w:rFonts w:ascii="Arial" w:cs="Arial" w:eastAsia="Arial" w:hAnsi="Arial"/>
          <w:sz w:val="24"/>
          <w:szCs w:val="24"/>
        </w:rPr>
        <w:t xml:space="preserve">Действие настоящего Порядка распространяется на субъектов, осуществляющих импорт горюче-смазочных материалов.</w:t>
      </w:r>
    </w:p>
    <w:p>
      <w:pPr>
        <w:spacing w:after="120"/>
        <w:ind w:firstLine="567"/>
        <w:jc w:val="both"/>
      </w:pPr>
      <w:r>
        <w:rPr>
          <w:rFonts w:ascii="Arial" w:cs="Arial" w:eastAsia="Arial" w:hAnsi="Arial"/>
          <w:sz w:val="24"/>
          <w:szCs w:val="24"/>
        </w:rPr>
        <w:t xml:space="preserve">2. Субсидии предоставляются за счет средств республиканского бюджета в пределах средств, предусмотренных на соответствующий финансовый год. </w:t>
      </w:r>
    </w:p>
    <w:p>
      <w:pPr>
        <w:spacing w:after="120"/>
        <w:ind w:firstLine="567"/>
        <w:jc w:val="both"/>
      </w:pPr>
      <w:r>
        <w:rPr>
          <w:rFonts w:ascii="Arial" w:cs="Arial" w:eastAsia="Arial" w:hAnsi="Arial"/>
          <w:sz w:val="24"/>
          <w:szCs w:val="24"/>
        </w:rPr>
        <w:t xml:space="preserve">3. Субсидии предоставляются исключительно в отношении: </w:t>
      </w:r>
    </w:p>
    <w:p>
      <w:pPr>
        <w:spacing w:after="120"/>
        <w:ind w:firstLine="567"/>
        <w:jc w:val="both"/>
      </w:pPr>
      <w:r>
        <w:rPr>
          <w:rFonts w:ascii="Arial" w:cs="Arial" w:eastAsia="Arial" w:hAnsi="Arial"/>
          <w:sz w:val="24"/>
          <w:szCs w:val="24"/>
        </w:rPr>
        <w:t xml:space="preserve">1) бензина моторного (марок Аи-92, Аи-95), классифицируемого в товарных позициях ТН ВЭД 2710 12 110–2710 12 900, 2710 19 110 0–2710 19 150 0, 2710 19 250 0, 2710 19 290;</w:t>
      </w:r>
    </w:p>
    <w:p>
      <w:pPr>
        <w:spacing w:after="120"/>
        <w:ind w:firstLine="567"/>
        <w:jc w:val="both"/>
      </w:pPr>
      <w:r>
        <w:rPr>
          <w:rFonts w:ascii="Arial" w:cs="Arial" w:eastAsia="Arial" w:hAnsi="Arial"/>
          <w:sz w:val="24"/>
          <w:szCs w:val="24"/>
        </w:rPr>
        <w:t xml:space="preserve">2) дизельного топлива, классифицируемого в товарных позициях ТН ВЭД 2710 19 310 0–2710 19 480 0, 2710 20 110 0–2710 20 190 0;</w:t>
      </w:r>
    </w:p>
    <w:p>
      <w:pPr>
        <w:spacing w:after="120"/>
        <w:ind w:firstLine="567"/>
        <w:jc w:val="both"/>
      </w:pPr>
      <w:r>
        <w:rPr>
          <w:rFonts w:ascii="Arial" w:cs="Arial" w:eastAsia="Arial" w:hAnsi="Arial"/>
          <w:sz w:val="24"/>
          <w:szCs w:val="24"/>
        </w:rPr>
        <w:t xml:space="preserve">3) сжиженного углеводородного газа, используемого в качестве автомобильного топлива, классифицируемого в товарных позициях ТН ВЭД 2711 11 000 0–2711 19 000 0, 2901 10 000 1.</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Условия предоставления субсидий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Субсидии предоставляются субъектам, импортирующим и реализующим горюче-смазочные материалы, исходя из цен приобретения по контрактам.</w:t>
      </w:r>
    </w:p>
    <w:p>
      <w:pPr>
        <w:spacing w:after="120"/>
        <w:ind w:firstLine="567"/>
        <w:jc w:val="both"/>
      </w:pPr>
      <w:r>
        <w:rPr>
          <w:rFonts w:ascii="Arial" w:cs="Arial" w:eastAsia="Arial" w:hAnsi="Arial"/>
          <w:sz w:val="24"/>
          <w:szCs w:val="24"/>
        </w:rPr>
        <w:t xml:space="preserve">5. Субсидии не предоставляются субъектам: </w:t>
      </w:r>
    </w:p>
    <w:p>
      <w:pPr>
        <w:spacing w:after="120"/>
        <w:ind w:firstLine="567"/>
        <w:jc w:val="both"/>
      </w:pPr>
      <w:r>
        <w:rPr>
          <w:rFonts w:ascii="Arial" w:cs="Arial" w:eastAsia="Arial" w:hAnsi="Arial"/>
          <w:sz w:val="24"/>
          <w:szCs w:val="24"/>
        </w:rPr>
        <w:t xml:space="preserve">1) находящимся в процессе ликвидации или банкротства; </w:t>
      </w:r>
    </w:p>
    <w:p>
      <w:pPr>
        <w:spacing w:after="120"/>
        <w:ind w:firstLine="567"/>
        <w:jc w:val="both"/>
      </w:pPr>
      <w:r>
        <w:rPr>
          <w:rFonts w:ascii="Arial" w:cs="Arial" w:eastAsia="Arial" w:hAnsi="Arial"/>
          <w:sz w:val="24"/>
          <w:szCs w:val="24"/>
        </w:rPr>
        <w:t xml:space="preserve">2) допустившим необоснованное завышение розничных цен;</w:t>
      </w:r>
    </w:p>
    <w:p>
      <w:pPr>
        <w:spacing w:after="120"/>
        <w:ind w:firstLine="567"/>
        <w:jc w:val="both"/>
      </w:pPr>
      <w:r>
        <w:rPr>
          <w:rFonts w:ascii="Arial" w:cs="Arial" w:eastAsia="Arial" w:hAnsi="Arial"/>
          <w:sz w:val="24"/>
          <w:szCs w:val="24"/>
        </w:rPr>
        <w:t xml:space="preserve">3) имеющим льготное налогообложение в соответствии со статьями </w:t>
      </w:r>
      <w:hyperlink w:history="1" r:id="rIdpozhbhn9-c72sviqrp0l1">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whvdsqhah-xlonozw1q87">
        <w:r>
          <w:rPr>
            <w:rFonts w:ascii="Arial" w:cs="Arial" w:eastAsia="Arial" w:hAnsi="Arial"/>
            <w:color w:val="1D4ED8"/>
            <w:sz w:val="24"/>
            <w:szCs w:val="24"/>
            <w:u w:val="single"/>
          </w:rPr>
          <w:t xml:space="preserve">183</w:t>
        </w:r>
      </w:hyperlink>
      <w:r>
        <w:rPr>
          <w:rFonts w:ascii="Arial" w:cs="Arial" w:eastAsia="Arial" w:hAnsi="Arial"/>
          <w:sz w:val="24"/>
          <w:szCs w:val="24"/>
        </w:rPr>
        <w:t xml:space="preserve"> Налогового кодекса Кыргызской Республики в части импортированных горюче-смазочных материалов.</w:t>
      </w:r>
    </w:p>
    <w:p>
      <w:pPr>
        <w:spacing w:after="120"/>
        <w:ind w:firstLine="567"/>
        <w:jc w:val="both"/>
      </w:pPr>
      <w:r>
        <w:rPr>
          <w:rFonts w:ascii="Arial" w:cs="Arial" w:eastAsia="Arial" w:hAnsi="Arial"/>
          <w:sz w:val="24"/>
          <w:szCs w:val="24"/>
        </w:rPr>
        <w:t xml:space="preserve">6. Размер субсидий не может превышать 20 процентов от определенной фиксированной цены.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расчета субсидий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Размер субсидий определяется как разница между фиксированной ценой, определенной решением Кабинета Министров Кыргызской Республики, и стоимостью импортируемых горюче-смазочных материалов согласно контрактам и счетам-фактурам (инвойс) при импорте на базисе поставки железнодорожных станций Турксиб и Сары-Агач. </w:t>
      </w:r>
    </w:p>
    <w:p>
      <w:pPr>
        <w:spacing w:after="120"/>
        <w:ind w:firstLine="567"/>
        <w:jc w:val="both"/>
      </w:pPr>
      <w:r>
        <w:rPr>
          <w:rFonts w:ascii="Arial" w:cs="Arial" w:eastAsia="Arial" w:hAnsi="Arial"/>
          <w:sz w:val="24"/>
          <w:szCs w:val="24"/>
        </w:rPr>
        <w:t xml:space="preserve">8. Сумма субсидий определяется с учетом налога на добавленную стоимость на импорт.</w:t>
      </w:r>
    </w:p>
    <w:p>
      <w:pPr>
        <w:spacing w:after="120"/>
        <w:ind w:firstLine="567"/>
        <w:jc w:val="both"/>
      </w:pPr>
      <w:r>
        <w:rPr>
          <w:rFonts w:ascii="Arial" w:cs="Arial" w:eastAsia="Arial" w:hAnsi="Arial"/>
          <w:sz w:val="24"/>
          <w:szCs w:val="24"/>
        </w:rPr>
        <w:t xml:space="preserve">9. Размер субсидий определяется в национальной валюте Кыргызской Республики по курсу Национального банка Кыргызской Республики на дату импорта горюче-смазочных материалов.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4. Порядок подачи данных и перечисления субсидий</w:t>
      </w:r>
    </w:p>
    <w:p>
      <w:pPr>
        <w:spacing w:after="12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Получатель субсидий для получения субсидий до 25 числа месяца, следующего за отчетным месяцем, направляет заявку с приложением следующих данных в Государственную налоговую службу при Кабинете Министров Кыргызской Республики и Службу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 расчет суммы субсидий как разницы между фиксированной ценой, определенной решением Кабинета Министров Кыргызской Республики, и стоимостью импортируемых горюче-смазочных материалов согласно контрактам и счетам-фактурам (инвойс) при импорте на базисе поставки железнодорожных станций Турксиб и Сары-Агач;</w:t>
      </w:r>
    </w:p>
    <w:p>
      <w:pPr>
        <w:spacing w:after="120"/>
        <w:ind w:firstLine="567"/>
        <w:jc w:val="both"/>
      </w:pPr>
      <w:r>
        <w:rPr>
          <w:rFonts w:ascii="Arial" w:cs="Arial" w:eastAsia="Arial" w:hAnsi="Arial"/>
          <w:sz w:val="24"/>
          <w:szCs w:val="24"/>
        </w:rPr>
        <w:t xml:space="preserve">2) сведения об объемах импорта;</w:t>
      </w:r>
    </w:p>
    <w:p>
      <w:pPr>
        <w:spacing w:after="120"/>
        <w:ind w:firstLine="567"/>
        <w:jc w:val="both"/>
      </w:pPr>
      <w:r>
        <w:rPr>
          <w:rFonts w:ascii="Arial" w:cs="Arial" w:eastAsia="Arial" w:hAnsi="Arial"/>
          <w:sz w:val="24"/>
          <w:szCs w:val="24"/>
        </w:rPr>
        <w:t xml:space="preserve">3) копии товаросопроводительных документов; </w:t>
      </w:r>
    </w:p>
    <w:p>
      <w:pPr>
        <w:spacing w:after="120"/>
        <w:ind w:firstLine="567"/>
        <w:jc w:val="both"/>
      </w:pPr>
      <w:r>
        <w:rPr>
          <w:rFonts w:ascii="Arial" w:cs="Arial" w:eastAsia="Arial" w:hAnsi="Arial"/>
          <w:sz w:val="24"/>
          <w:szCs w:val="24"/>
        </w:rPr>
        <w:t xml:space="preserve">4) стоимость по контрактам и счетам-фактурам (инвойс);</w:t>
      </w:r>
    </w:p>
    <w:p>
      <w:pPr>
        <w:spacing w:after="120"/>
        <w:ind w:firstLine="567"/>
        <w:jc w:val="both"/>
      </w:pPr>
      <w:r>
        <w:rPr>
          <w:rFonts w:ascii="Arial" w:cs="Arial" w:eastAsia="Arial" w:hAnsi="Arial"/>
          <w:sz w:val="24"/>
          <w:szCs w:val="24"/>
        </w:rPr>
        <w:t xml:space="preserve">5) подтверждающие документы по расходам на транспортировку до базиса поставки железнодорожных станций Турксиб и Сары-Агач;</w:t>
      </w:r>
    </w:p>
    <w:p>
      <w:pPr>
        <w:spacing w:after="120"/>
        <w:ind w:firstLine="567"/>
        <w:jc w:val="both"/>
      </w:pPr>
      <w:r>
        <w:rPr>
          <w:rFonts w:ascii="Arial" w:cs="Arial" w:eastAsia="Arial" w:hAnsi="Arial"/>
          <w:sz w:val="24"/>
          <w:szCs w:val="24"/>
        </w:rPr>
        <w:t xml:space="preserve">6) подтверждающие документы об уплате налога на добавленную стоимость при импорте;</w:t>
      </w:r>
    </w:p>
    <w:p>
      <w:pPr>
        <w:spacing w:after="120"/>
        <w:ind w:firstLine="567"/>
        <w:jc w:val="both"/>
      </w:pPr>
      <w:r>
        <w:rPr>
          <w:rFonts w:ascii="Arial" w:cs="Arial" w:eastAsia="Arial" w:hAnsi="Arial"/>
          <w:sz w:val="24"/>
          <w:szCs w:val="24"/>
        </w:rPr>
        <w:t xml:space="preserve">7) банковские реквизиты.</w:t>
      </w:r>
    </w:p>
    <w:p>
      <w:pPr>
        <w:spacing w:after="120"/>
        <w:ind w:firstLine="567"/>
        <w:jc w:val="both"/>
      </w:pPr>
      <w:r>
        <w:rPr>
          <w:rFonts w:ascii="Arial" w:cs="Arial" w:eastAsia="Arial" w:hAnsi="Arial"/>
          <w:sz w:val="24"/>
          <w:szCs w:val="24"/>
        </w:rPr>
        <w:t xml:space="preserve">11. Государственная налоговая служба при Кабинете Министров Кыргызской Республики и Служба антимонопольного регулирования при Министерстве экономики и коммерции Кыргызской Республики в течение 5 (пяти) рабочих дней со дня поступления заявки, предусмотренной пунктом 10 настоящего Порядка, рассматривает и направляет ее в межведомственную рабочую группу под председательством Министерства экономики и коммерции Кыргызской Республики.</w:t>
      </w:r>
    </w:p>
    <w:p>
      <w:pPr>
        <w:spacing w:after="120"/>
        <w:ind w:firstLine="567"/>
        <w:jc w:val="both"/>
      </w:pPr>
      <w:r>
        <w:rPr>
          <w:rFonts w:ascii="Arial" w:cs="Arial" w:eastAsia="Arial" w:hAnsi="Arial"/>
          <w:sz w:val="24"/>
          <w:szCs w:val="24"/>
        </w:rPr>
        <w:t xml:space="preserve">В состав межведомственной рабочей группы включаются представители не ниже заместителей руководителей Министерства экономики и коммерции Кыргызской Республики, Министерства финансов Кыргызской Республики, Министерства энергетики Кыргызской Республики, Государственной налоговой службы при Кабинете Министров Кыргызской Республики, Государственной таможенной службы при Кабинете Министров Кыргызской Республики, Службы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12. Приказом Министерства экономики и коммерции Кыргызской Республики утверждаются состав и регламент работы межведомственной рабочей группы по рассмотрению заявок получателей субсидий.</w:t>
      </w:r>
    </w:p>
    <w:p>
      <w:pPr>
        <w:spacing w:after="120"/>
        <w:ind w:firstLine="567"/>
        <w:jc w:val="both"/>
      </w:pPr>
      <w:r>
        <w:rPr>
          <w:rFonts w:ascii="Arial" w:cs="Arial" w:eastAsia="Arial" w:hAnsi="Arial"/>
          <w:sz w:val="24"/>
          <w:szCs w:val="24"/>
        </w:rPr>
        <w:t xml:space="preserve">13. Заявки получателей субсидий в течение 3 (трех) рабочих дней рассматриваются межведомственной рабочей группой со дня их поступления от Государственной налоговой службы при Кабинете Министров Кыргызской Республики и Службы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14. Министерство финансов Кыргызской Республики перечисляет субсидии в течение 2 (двух) рабочих дней со дня поступления от Министерства экономики и коммерции Кыргызской Республики положительного заключения межведомственной рабочей группы и заявок получателей субсидий.</w:t>
      </w:r>
    </w:p>
    <w:p>
      <w:pPr>
        <w:spacing w:after="120"/>
        <w:ind w:firstLine="567"/>
        <w:jc w:val="both"/>
      </w:pPr>
      <w:r>
        <w:rPr>
          <w:rFonts w:ascii="Arial" w:cs="Arial" w:eastAsia="Arial" w:hAnsi="Arial"/>
          <w:sz w:val="24"/>
          <w:szCs w:val="24"/>
        </w:rPr>
        <w:t xml:space="preserve">15. Субсидии перечисляются на банковские счета получателей субсидий.</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5. Ответственность</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 Получатель субсидий несет ответственность за достоверность предоставленных сведений в соответствии с законодательством Кыргызской Республики. </w:t>
      </w:r>
    </w:p>
    <w:p>
      <w:pPr>
        <w:spacing w:after="120"/>
        <w:ind w:firstLine="567"/>
        <w:jc w:val="both"/>
      </w:pPr>
      <w:r>
        <w:rPr>
          <w:rFonts w:ascii="Arial" w:cs="Arial" w:eastAsia="Arial" w:hAnsi="Arial"/>
          <w:sz w:val="24"/>
          <w:szCs w:val="24"/>
        </w:rPr>
        <w:t xml:space="preserve">17. В случае выявления фактов предоставления недостоверных сведений, необоснованного получения субсидий и нарушения условий настоящего Порядка получатель субсидий обязан возвратить полученные средства в республиканский бюджет в течение 30 календарных дней со дня получения соответствующего уведомления.</w:t>
      </w:r>
    </w:p>
    <w:p>
      <w:pPr>
        <w:spacing w:after="120"/>
        <w:ind w:firstLine="567"/>
        <w:jc w:val="both"/>
      </w:pPr>
      <w:r>
        <w:rPr>
          <w:rFonts w:ascii="Arial" w:cs="Arial" w:eastAsia="Arial" w:hAnsi="Arial"/>
          <w:sz w:val="24"/>
          <w:szCs w:val="24"/>
        </w:rPr>
        <w:t xml:space="preserve">18. При отказе от добровольного возврата средств взыскание осуществляется в 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mtrvosimuyhyrbxdhnh">
      <w:r>
        <w:rPr>
          <w:rFonts w:ascii="Arial" w:cs="Arial" w:eastAsia="Arial" w:hAnsi="Arial"/>
          <w:color w:val="132D3F"/>
          <w:sz w:val="16"/>
          <w:szCs w:val="16"/>
          <w:u w:val="single"/>
        </w:rPr>
        <w:t xml:space="preserve">dalil.kg/document/230047138</w:t>
      </w:r>
    </w:hyperlink>
  </w:p>
  <w:p>
    <w:pPr>
      <w:spacing w:after="0" w:before="40"/>
      <w:jc w:val="center"/>
    </w:pPr>
    <w:hyperlink w:history="1" r:id="rIdafrqpyzskchyrhd77fhc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9xu6wrgj_ksg1t9bvm-" Type="http://schemas.openxmlformats.org/officeDocument/2006/relationships/hyperlink" Target="https://dalil.kg/document/230047135" TargetMode="External"/><Relationship Id="rIdpozhbhn9-c72sviqrp0l1" Type="http://schemas.openxmlformats.org/officeDocument/2006/relationships/hyperlink" Target="https://dalil.kg/document/112340#st_3" TargetMode="External"/><Relationship Id="rIdwhvdsqhah-xlonozw1q87" Type="http://schemas.openxmlformats.org/officeDocument/2006/relationships/hyperlink" Target="https://dalil.kg/document/112340#st_1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mtrvosimuyhyrbxdhnh" Type="http://schemas.openxmlformats.org/officeDocument/2006/relationships/hyperlink" Target="https://dalil.kg/document/230047138" TargetMode="External"/><Relationship Id="rIdafrqpyzskchyrhd77fhc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2026-09-24T13:58:56.572Z</dcterms:created>
  <dcterms:modified xsi:type="dcterms:W3CDTF">2026-09-24T13:58:56.572Z</dcterms:modified>
</cp:coreProperties>
</file>

<file path=docProps/custom.xml><?xml version="1.0" encoding="utf-8"?>
<Properties xmlns="http://schemas.openxmlformats.org/officeDocument/2006/custom-properties" xmlns:vt="http://schemas.openxmlformats.org/officeDocument/2006/docPropsVTypes"/>
</file>