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464-VIII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Закона Кыргызской Республики «О внесении изменений в Закон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приватизации государственной собственности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</w:t>
      </w:r>
      <w:hyperlink w:history="1" r:id="rIdzthenzc6b6jntyoy4q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х. № </w:t>
      </w:r>
      <w:r>
        <w:rPr>
          <w:rFonts w:ascii="Arial" w:cs="Arial" w:eastAsia="Arial" w:hAnsi="Arial"/>
          <w:sz w:val="24"/>
          <w:szCs w:val="24"/>
        </w:rPr>
        <w:t xml:space="preserve">18-4027 от 3 апреля </w:t>
      </w:r>
      <w:r>
        <w:rPr>
          <w:rFonts w:ascii="Arial" w:cs="Arial" w:eastAsia="Arial" w:hAnsi="Arial"/>
          <w:sz w:val="24"/>
          <w:szCs w:val="24"/>
        </w:rPr>
        <w:t xml:space="preserve">2026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https://kenesh.kg/ru/law-activity/resolutions/7714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18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ejrmrb9-shai8uy7r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dalil.kg/document/230047662</w:t>
      </w:r>
    </w:hyperlink>
  </w:p>
  <w:p>
    <w:pPr>
      <w:spacing w:after="0" w:before="40"/>
      <w:jc w:val="center"/>
    </w:pPr>
    <w:hyperlink w:history="1" r:id="rIdtqfg6wna5gbuyxq52ky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henzc6b6jntyoy4ql5r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ejrmrb9-shai8uy7reb" Type="http://schemas.openxmlformats.org/officeDocument/2006/relationships/hyperlink" Target="https://dalil.kg/document/230047662" TargetMode="External"/><Relationship Id="rIdtqfg6wna5gbuyxq52ky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2026-09-26T07:52:49.084Z</dcterms:created>
  <dcterms:modified xsi:type="dcterms:W3CDTF">2026-09-26T07:52:49.084Z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