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  2026 года № 429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«Об утверждении Положения об индустриальных парках» от 21 мая 2025 года № 269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функционирования индустриальных парков, в соответствии с</w:t>
      </w:r>
      <w:r>
        <w:rPr>
          <w:rFonts w:ascii="Arial" w:cs="Arial" w:eastAsia="Arial" w:hAnsi="Arial"/>
          <w:sz w:val="24"/>
          <w:szCs w:val="24"/>
        </w:rPr>
        <w:t xml:space="preserve">о статьями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ypenoow3dkxepjj_fx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Об утверждении Положения об индустриальных парках»</w:t>
      </w:r>
      <w:r>
        <w:rPr>
          <w:rFonts w:ascii="Arial" w:cs="Arial" w:eastAsia="Arial" w:hAnsi="Arial"/>
          <w:sz w:val="24"/>
          <w:szCs w:val="24"/>
        </w:rPr>
        <w:t xml:space="preserve"> от 21 мая 2025 года № 269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об индустриальных парках, утвержденном вышеуказанным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2 пункта 4 после слов «договор аренды» дополнить словами «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срочного (временного) пользования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2 пункта 5 </w:t>
      </w:r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«2) 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ерритория индустриального парка формируется из одного или нескольких земельных участков и (или) объектов недвижимого имущества, находящихся в государственной, муниципальной либо частной собственности;»;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2 пункта 8 </w:t>
      </w:r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2) управляющая компания индустриального парка не может осуществлять производственную деятельность на территории индустриального парка, кроме случаев осуществления производственной деятельности для обеспечения потребностей индустриального парка в тепло-, электро-, газоснабжении</w:t>
      </w:r>
      <w:r>
        <w:rPr>
          <w:rFonts w:ascii="Arial" w:cs="Arial" w:eastAsia="Arial" w:hAnsi="Arial"/>
          <w:sz w:val="24"/>
          <w:szCs w:val="24"/>
        </w:rPr>
        <w:t xml:space="preserve">, а также в иных энергоресурсах и технологических газах (кислород, азот, сжатый воздух и другие), в том числе с правом реализации излишков указанных ресурсов третьим лицам при условии первоочередного обеспечения потребностей индустриального парка.»;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1 пункта 11 после слов «договора аренды» дополнить словами «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срочного (временного) пользования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12 дополнить подпунктами 11</w:t>
      </w:r>
      <w:r>
        <w:rPr>
          <w:rFonts w:ascii="Arial" w:cs="Arial" w:eastAsia="Arial" w:hAnsi="Arial"/>
          <w:sz w:val="24"/>
          <w:szCs w:val="24"/>
        </w:rPr>
        <w:t xml:space="preserve">–15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«1</w:t>
      </w:r>
      <w:r>
        <w:rPr>
          <w:rFonts w:ascii="Arial" w:cs="Arial" w:eastAsia="Arial" w:hAnsi="Arial"/>
          <w:sz w:val="24"/>
          <w:szCs w:val="24"/>
        </w:rPr>
        <w:t xml:space="preserve">1) создавать дочерние и зависимые общества, а также иные юридические лица, в том числе для реализации отдельных </w:t>
      </w:r>
      <w:r>
        <w:rPr>
          <w:rFonts w:ascii="Arial" w:cs="Arial" w:eastAsia="Arial" w:hAnsi="Arial"/>
          <w:sz w:val="24"/>
          <w:szCs w:val="24"/>
        </w:rPr>
        <w:t xml:space="preserve">промышленных, инвестиционных, технологических и иных проектов,</w:t>
      </w:r>
      <w:r>
        <w:rPr>
          <w:rFonts w:ascii="Arial" w:cs="Arial" w:eastAsia="Arial" w:hAnsi="Arial"/>
          <w:sz w:val="24"/>
          <w:szCs w:val="24"/>
        </w:rPr>
        <w:t xml:space="preserve"> направленных на развитие индустриального парка, улучшение условий деятельности резидентов, расширение производственных мощностей, коммерциализацию полученных научно-технических результатов и повышение эффективности функционирования индустриального парка, </w:t>
      </w:r>
      <w:r>
        <w:rPr>
          <w:rFonts w:ascii="Arial" w:cs="Arial" w:eastAsia="Arial" w:hAnsi="Arial"/>
          <w:sz w:val="24"/>
          <w:szCs w:val="24"/>
        </w:rPr>
        <w:t xml:space="preserve">в соответствии с Гражданским кодексом Кыргызской Республики и законодательством Кыргызской Республики в сфере регулирования юридических лиц и хозяйственных обществ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выступать учредителем, акционером либо участником иных юридических лиц, в том числе путем внесения вкладов (взносов) в уставный капитал таких юридических лиц, деятельность которых связана с целями и задачами индустриального парка, включая проекты с участием государственных, частных и/или международных инвесторов, как на территории индустриального парка, так и за его пределами, в пределах своей компетенции и при условии соответствия уставным целям управляющей компании, в том числе определенным для реализации инвестиционных, инфраструктурных, производственных и сервисных проектов, связанных с деятельностью индустриального парка, в соответствии с Гражданским кодексом Кыргызской Республики и законодательством Кыргызской Республики в сфере регулирования юридических лиц и хозяйственных обществ;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sz w:val="24"/>
          <w:szCs w:val="24"/>
        </w:rPr>
        <w:t xml:space="preserve">вносить принадлежащее управляющей компании на праве собственности имущество, включая здания, сооружения, объекты инженерной и транспортной инфраструктуры, имущественные и иные права, а также земельные участки в случаях, допускаемых законодательством Кыргызской Республики, в качестве вклада в уставный капитал юридических лиц, в которых управляющая компания является учредителем (участником, акционером), в соответствии с Гражданским кодексом Кыргызской Республики, земельным законодательством Кыргызской Республики и законодательством Кыргызской Республики в сфере регулирования юридических лиц и хозяйственных обществ;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предоставление земельных участков иностранным лицам допускается, если они являются резидентами индустриального парка и используют земельный участок исключительно для осуществления деятельности на территории индустриального парка, при этом земельные участки, находящиеся в государственной собственности, предоставляются таким лицам без проведения торгов путем прямого предоставления в порядке, предусмотренном статьей 28 Земельного кодекса Кыргызской Республики, с учетом ограничений и условий, установленных статьей 8 Земельного кодекса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15) использование земельных участков, находящихся в частной собственности, для целей индустриального парка допускается исключительно на основании добровольно заключенного гражданско-правового договора (аренды, безвозмездного пользования, сервитута, о совместной деятельности) либо иного предусмотренного законом соглашения с собственником земельного участка. Включение земельных участков в границы индустриального парка не влечет за собой прекращения права частной собственности на данные участки, за исключением случаев, прямо предусмотренных законодательством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2. Настоящее постановление вступает в силу по истечении семи дней со дня его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июня 2026 года № 45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dkvzkkknonlai-w9qn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dalil.kg/document/230047720</w:t>
      </w:r>
    </w:hyperlink>
  </w:p>
  <w:p>
    <w:pPr>
      <w:spacing w:after="0" w:before="40"/>
      <w:jc w:val="center"/>
    </w:pPr>
    <w:hyperlink w:history="1" r:id="rIdfpqtcajqfkbtykx4ipz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ypenoow3dkxepjj_fxkz" Type="http://schemas.openxmlformats.org/officeDocument/2006/relationships/hyperlink" Target="https://dalil.kg/document/2300284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dkvzkkknonlai-w9qnki" Type="http://schemas.openxmlformats.org/officeDocument/2006/relationships/hyperlink" Target="https://dalil.kg/document/230047720" TargetMode="External"/><Relationship Id="rIdfpqtcajqfkbtykx4ipzt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2026-09-26T00:13:03.440Z</dcterms:created>
  <dcterms:modified xsi:type="dcterms:W3CDTF">2026-09-26T00:13:03.440Z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